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4440.0" w:type="dxa"/>
        <w:jc w:val="left"/>
        <w:tblInd w:w="45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40"/>
        <w:tblGridChange w:id="0">
          <w:tblGrid>
            <w:gridCol w:w="44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UNIVERSITÄTS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medizin</w:t>
            </w:r>
          </w:p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uct |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University Center for </w:t>
            </w:r>
          </w:p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Tumor Diseases MAINZ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Head: Prof. Dr. medical Thomas Kindler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Dr. med. Marius Fried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hyperlink r:id="rId6">
              <w:r w:rsidDel="00000000" w:rsidR="00000000" w:rsidRPr="00000000">
                <w:rPr>
                  <w:color w:val="1155cc"/>
                  <w:sz w:val="14"/>
                  <w:szCs w:val="14"/>
                  <w:u w:val="single"/>
                  <w:rtl w:val="0"/>
                </w:rPr>
                <w:t xml:space="preserve">uct-tumorboards@unimedizin-mainz.de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Mainz, March 9, 2023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Tumor Board Personalized Oncology</w:t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Date:             </w:t>
      </w:r>
      <w:r w:rsidDel="00000000" w:rsidR="00000000" w:rsidRPr="00000000">
        <w:rPr>
          <w:sz w:val="18"/>
          <w:szCs w:val="18"/>
          <w:rtl w:val="0"/>
        </w:rPr>
        <w:t xml:space="preserve">06.03.2023</w:t>
      </w:r>
    </w:p>
    <w:p w:rsidR="00000000" w:rsidDel="00000000" w:rsidP="00000000" w:rsidRDefault="00000000" w:rsidRPr="00000000" w14:paraId="00000013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Patient:         </w:t>
      </w:r>
      <w:r w:rsidDel="00000000" w:rsidR="00000000" w:rsidRPr="00000000">
        <w:rPr>
          <w:sz w:val="18"/>
          <w:szCs w:val="18"/>
          <w:rtl w:val="0"/>
        </w:rPr>
        <w:t xml:space="preserve">Zherlitsyna, Anastasia *25.04.1976</w:t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Diagnosis:    </w:t>
      </w:r>
      <w:r w:rsidDel="00000000" w:rsidR="00000000" w:rsidRPr="00000000">
        <w:rPr>
          <w:sz w:val="18"/>
          <w:szCs w:val="18"/>
          <w:rtl w:val="0"/>
        </w:rPr>
        <w:t xml:space="preserve">Leiomyosarcoma of the uterus, T2NxM1 (HEP, PER, omentum </w:t>
      </w:r>
      <w:r w:rsidDel="00000000" w:rsidR="00000000" w:rsidRPr="00000000">
        <w:rPr>
          <w:sz w:val="18"/>
          <w:szCs w:val="18"/>
          <w:rtl w:val="0"/>
        </w:rPr>
        <w:t xml:space="preserve">majus</w:t>
      </w:r>
      <w:r w:rsidDel="00000000" w:rsidR="00000000" w:rsidRPr="00000000">
        <w:rPr>
          <w:sz w:val="18"/>
          <w:szCs w:val="18"/>
          <w:rtl w:val="0"/>
        </w:rPr>
        <w:t xml:space="preserve">; failed ovary),</w:t>
      </w:r>
    </w:p>
    <w:p w:rsidR="00000000" w:rsidDel="00000000" w:rsidP="00000000" w:rsidRDefault="00000000" w:rsidRPr="00000000" w14:paraId="00000015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Question:  </w:t>
      </w:r>
      <w:r w:rsidDel="00000000" w:rsidR="00000000" w:rsidRPr="00000000">
        <w:rPr>
          <w:sz w:val="18"/>
          <w:szCs w:val="18"/>
          <w:rtl w:val="0"/>
        </w:rPr>
        <w:t xml:space="preserve">    Clinical relevance of the molecular findings</w:t>
      </w:r>
    </w:p>
    <w:p w:rsidR="00000000" w:rsidDel="00000000" w:rsidP="00000000" w:rsidRDefault="00000000" w:rsidRPr="00000000" w14:paraId="0000001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Conference participants</w:t>
      </w:r>
    </w:p>
    <w:p w:rsidR="00000000" w:rsidDel="00000000" w:rsidP="00000000" w:rsidRDefault="00000000" w:rsidRPr="00000000" w14:paraId="0000001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Molecular Oncology: Desuki, Fried, Hafez</w:t>
      </w:r>
    </w:p>
    <w:p w:rsidR="00000000" w:rsidDel="00000000" w:rsidP="00000000" w:rsidRDefault="00000000" w:rsidRPr="00000000" w14:paraId="0000001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 Medical Clinic: -</w:t>
      </w:r>
    </w:p>
    <w:p w:rsidR="00000000" w:rsidDel="00000000" w:rsidP="00000000" w:rsidRDefault="00000000" w:rsidRPr="00000000" w14:paraId="0000001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Pathology: Wagner</w:t>
      </w:r>
    </w:p>
    <w:p w:rsidR="00000000" w:rsidDel="00000000" w:rsidP="00000000" w:rsidRDefault="00000000" w:rsidRPr="00000000" w14:paraId="0000001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Molecular pathology: Hartmann</w:t>
      </w:r>
    </w:p>
    <w:p w:rsidR="00000000" w:rsidDel="00000000" w:rsidP="00000000" w:rsidRDefault="00000000" w:rsidRPr="00000000" w14:paraId="0000001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Pediatrics: -</w:t>
      </w:r>
    </w:p>
    <w:p w:rsidR="00000000" w:rsidDel="00000000" w:rsidP="00000000" w:rsidRDefault="00000000" w:rsidRPr="00000000" w14:paraId="0000001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Bioinformatics: Ritzel</w:t>
      </w:r>
    </w:p>
    <w:p w:rsidR="00000000" w:rsidDel="00000000" w:rsidP="00000000" w:rsidRDefault="00000000" w:rsidRPr="00000000" w14:paraId="0000001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Virology: Tomicic-Christmann</w:t>
      </w:r>
    </w:p>
    <w:p w:rsidR="00000000" w:rsidDel="00000000" w:rsidP="00000000" w:rsidRDefault="00000000" w:rsidRPr="00000000" w14:paraId="0000001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Human genetics: Schweiger, Pieh</w:t>
      </w:r>
    </w:p>
    <w:p w:rsidR="00000000" w:rsidDel="00000000" w:rsidP="00000000" w:rsidRDefault="00000000" w:rsidRPr="00000000" w14:paraId="00000020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Gynecology: Schmidt</w:t>
      </w:r>
    </w:p>
    <w:p w:rsidR="00000000" w:rsidDel="00000000" w:rsidP="00000000" w:rsidRDefault="00000000" w:rsidRPr="00000000" w14:paraId="00000021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DNPM coordination: Bremer</w:t>
      </w:r>
    </w:p>
    <w:p w:rsidR="00000000" w:rsidDel="00000000" w:rsidP="00000000" w:rsidRDefault="00000000" w:rsidRPr="00000000" w14:paraId="00000022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Documentation: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Kuncke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, Ozdemir</w:t>
      </w:r>
    </w:p>
    <w:p w:rsidR="00000000" w:rsidDel="00000000" w:rsidP="00000000" w:rsidRDefault="00000000" w:rsidRPr="00000000" w14:paraId="0000002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External: Grundheber (MVZ Brüderkrankenhaus Trier)</w:t>
      </w:r>
    </w:p>
    <w:p w:rsidR="00000000" w:rsidDel="00000000" w:rsidP="00000000" w:rsidRDefault="00000000" w:rsidRPr="00000000" w14:paraId="00000024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Teleconference: none</w:t>
      </w:r>
    </w:p>
    <w:p w:rsidR="00000000" w:rsidDel="00000000" w:rsidP="00000000" w:rsidRDefault="00000000" w:rsidRPr="00000000" w14:paraId="00000025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Findings</w:t>
      </w:r>
    </w:p>
    <w:p w:rsidR="00000000" w:rsidDel="00000000" w:rsidP="00000000" w:rsidRDefault="00000000" w:rsidRPr="00000000" w14:paraId="0000002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KIT            c.1668_1676delGTGGAAGGT/ p.Q556_V559delinsH       42.49</w:t>
      </w:r>
    </w:p>
    <w:p w:rsidR="00000000" w:rsidDel="00000000" w:rsidP="00000000" w:rsidRDefault="00000000" w:rsidRPr="00000000" w14:paraId="0000002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TPMT        c.719A&gt;G/p.Y240C                                                             39.83</w:t>
      </w:r>
    </w:p>
    <w:p w:rsidR="00000000" w:rsidDel="00000000" w:rsidP="00000000" w:rsidRDefault="00000000" w:rsidRPr="00000000" w14:paraId="0000002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TPMT        c.460G&gt;A/p.A154T                                                              49.93</w:t>
      </w:r>
    </w:p>
    <w:p w:rsidR="00000000" w:rsidDel="00000000" w:rsidP="00000000" w:rsidRDefault="00000000" w:rsidRPr="00000000" w14:paraId="0000002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PPM1D     c.1080G&gt;C/p.Q360H                                                            -</w:t>
      </w:r>
    </w:p>
    <w:p w:rsidR="00000000" w:rsidDel="00000000" w:rsidP="00000000" w:rsidRDefault="00000000" w:rsidRPr="00000000" w14:paraId="0000002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Comment: BRCA1/2, CHEK2,PALB2 WT</w:t>
      </w:r>
    </w:p>
    <w:p w:rsidR="00000000" w:rsidDel="00000000" w:rsidP="00000000" w:rsidRDefault="00000000" w:rsidRPr="00000000" w14:paraId="0000002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Gene Translocation</w:t>
      </w:r>
    </w:p>
    <w:p w:rsidR="00000000" w:rsidDel="00000000" w:rsidP="00000000" w:rsidRDefault="00000000" w:rsidRPr="00000000" w14:paraId="0000002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MTAT-CDKN2B-AS1_004</w:t>
      </w:r>
    </w:p>
    <w:p w:rsidR="00000000" w:rsidDel="00000000" w:rsidP="00000000" w:rsidRDefault="00000000" w:rsidRPr="00000000" w14:paraId="0000002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KIF5B-MET</w:t>
      </w:r>
    </w:p>
    <w:p w:rsidR="00000000" w:rsidDel="00000000" w:rsidP="00000000" w:rsidRDefault="00000000" w:rsidRPr="00000000" w14:paraId="0000002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BRD3-NUTM1</w:t>
      </w:r>
    </w:p>
    <w:p w:rsidR="00000000" w:rsidDel="00000000" w:rsidP="00000000" w:rsidRDefault="00000000" w:rsidRPr="00000000" w14:paraId="0000003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Conference resolution</w:t>
      </w:r>
    </w:p>
    <w:p w:rsidR="00000000" w:rsidDel="00000000" w:rsidP="00000000" w:rsidRDefault="00000000" w:rsidRPr="00000000" w14:paraId="0000003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Using OncoMine, CleanPlex Hereditary Cancer Panel, changes were detected with the following therapeutic recommendations:</w:t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                                                                            MOLECULAR EVIDENCE LEVEL</w:t>
      </w:r>
    </w:p>
    <w:p w:rsidR="00000000" w:rsidDel="00000000" w:rsidP="00000000" w:rsidRDefault="00000000" w:rsidRPr="00000000" w14:paraId="0000003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• 1st therapeutic approach</w:t>
      </w:r>
    </w:p>
    <w:p w:rsidR="00000000" w:rsidDel="00000000" w:rsidP="00000000" w:rsidRDefault="00000000" w:rsidRPr="00000000" w14:paraId="00000035">
      <w:pPr>
        <w:rPr>
          <w:b w:val="1"/>
          <w:bCs w:val="1"/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MET-Inhibitor                                                                                                                                               m2A</w:t>
      </w:r>
    </w:p>
    <w:p w:rsidR="00000000" w:rsidDel="00000000" w:rsidP="00000000" w:rsidRDefault="00000000" w:rsidRPr="00000000" w14:paraId="00000037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ind w:left="708.6614173228347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KIF5B-MET is the result of a fusion of KIF5B and MET and results in constitutive MET Kinase Activity and transformation ability in culture (PMID: 29284707, PMID: 30015159).</w:t>
      </w:r>
    </w:p>
    <w:p w:rsidR="00000000" w:rsidDel="00000000" w:rsidP="00000000" w:rsidRDefault="00000000" w:rsidRPr="00000000" w14:paraId="00000039">
      <w:pPr>
        <w:ind w:left="708.661417322834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-141.73228346456688" w:firstLine="0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t xml:space="preserve">UNIVERSITY MEDICINE at Johannes Gutenberg University Mainz: Public corporation</w:t>
      </w:r>
    </w:p>
    <w:p w:rsidR="00000000" w:rsidDel="00000000" w:rsidP="00000000" w:rsidRDefault="00000000" w:rsidRPr="00000000" w14:paraId="0000003B">
      <w:pPr>
        <w:ind w:left="-141.73228346456688" w:right="-324.3307086614169" w:firstLine="0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t xml:space="preserve">Executive Board: Univ.-Prof. Dr. med. Norbert Pleiffer (Chairman and Medical Director), Univ.-Prof. Dr. med. </w:t>
      </w:r>
      <w:r w:rsidDel="00000000" w:rsidR="00000000" w:rsidRPr="00000000">
        <w:rPr>
          <w:sz w:val="12"/>
          <w:szCs w:val="12"/>
          <w:rtl w:val="0"/>
        </w:rPr>
        <w:t xml:space="preserve">Utrich</w:t>
      </w:r>
      <w:r w:rsidDel="00000000" w:rsidR="00000000" w:rsidRPr="00000000">
        <w:rPr>
          <w:sz w:val="12"/>
          <w:szCs w:val="12"/>
          <w:rtl w:val="0"/>
        </w:rPr>
        <w:t xml:space="preserve"> Förstermann (Scientific Board), PD Dr. med. Christian Elsner (Commercial Director), Marion Hahn (Head of Nursing)</w:t>
      </w:r>
    </w:p>
    <w:p w:rsidR="00000000" w:rsidDel="00000000" w:rsidP="00000000" w:rsidRDefault="00000000" w:rsidRPr="00000000" w14:paraId="0000003C">
      <w:pPr>
        <w:ind w:left="-141.73228346456688" w:firstLine="0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t xml:space="preserve">Chairman of the Supervisory Board: Staatsseizetär Dr. Denis Alt</w:t>
      </w:r>
    </w:p>
    <w:p w:rsidR="00000000" w:rsidDel="00000000" w:rsidP="00000000" w:rsidRDefault="00000000" w:rsidRPr="00000000" w14:paraId="0000003D">
      <w:pPr>
        <w:ind w:left="-141.73228346456688" w:firstLine="0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t xml:space="preserve">Langenbeokstr</w:t>
      </w:r>
      <w:r w:rsidDel="00000000" w:rsidR="00000000" w:rsidRPr="00000000">
        <w:rPr>
          <w:sz w:val="12"/>
          <w:szCs w:val="12"/>
          <w:rtl w:val="0"/>
        </w:rPr>
        <w:t xml:space="preserve">. 1, 55131 Mainz. Telephone +49 (0) 6131 17-0 . </w:t>
      </w:r>
      <w:hyperlink r:id="rId7">
        <w:r w:rsidDel="00000000" w:rsidR="00000000" w:rsidRPr="00000000">
          <w:rPr>
            <w:color w:val="1155cc"/>
            <w:sz w:val="12"/>
            <w:szCs w:val="12"/>
            <w:u w:val="single"/>
            <w:rtl w:val="0"/>
          </w:rPr>
          <w:t xml:space="preserve">www.unimedizin-mainz.de</w:t>
        </w:r>
      </w:hyperlink>
      <w:r w:rsidDel="00000000" w:rsidR="00000000" w:rsidRPr="00000000">
        <w:rPr>
          <w:sz w:val="12"/>
          <w:szCs w:val="12"/>
          <w:rtl w:val="0"/>
        </w:rPr>
        <w:t xml:space="preserve">.</w:t>
      </w:r>
    </w:p>
    <w:p w:rsidR="00000000" w:rsidDel="00000000" w:rsidP="00000000" w:rsidRDefault="00000000" w:rsidRPr="00000000" w14:paraId="0000003E">
      <w:pPr>
        <w:ind w:left="-141.73228346456688" w:firstLine="0"/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t xml:space="preserve">Bank </w:t>
      </w:r>
      <w:r w:rsidDel="00000000" w:rsidR="00000000" w:rsidRPr="00000000">
        <w:rPr>
          <w:sz w:val="12"/>
          <w:szCs w:val="12"/>
          <w:rtl w:val="0"/>
        </w:rPr>
        <w:t xml:space="preserve">details:</w:t>
      </w:r>
      <w:r w:rsidDel="00000000" w:rsidR="00000000" w:rsidRPr="00000000">
        <w:rPr>
          <w:sz w:val="12"/>
          <w:szCs w:val="12"/>
          <w:rtl w:val="0"/>
        </w:rPr>
        <w:t xml:space="preserve"> Rheinhessen Sparkasse DE57 5535 0010 0000 0000 75 BIC MALADES1WOR. Mainzer Volksbank IBAN: DE33 5519 0000 0333 0000 32 BIC: MVBMDE55</w:t>
      </w:r>
    </w:p>
    <w:p w:rsidR="00000000" w:rsidDel="00000000" w:rsidP="00000000" w:rsidRDefault="00000000" w:rsidRPr="00000000" w14:paraId="0000003F">
      <w:pPr>
        <w:ind w:left="708.661417322834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In a clinical case study, treatment with Crizotinib resulted in a response with 74% tumor size reduction and clinical benefit for more than 8 months in a patient with NSCLC and KIF5B-MET fusion (PMID: 29284707).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In a clinical case study, treatment with capmatinib in an NSCLC patient with KIF5B-MET resulted in a 9-month response (PMID: 36033470).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In a clinical case study, treatment with cabozantinib in a pediatric patient with RBPMS-MET fusion and </w:t>
      </w:r>
      <w:r w:rsidDel="00000000" w:rsidR="00000000" w:rsidRPr="00000000">
        <w:rPr>
          <w:sz w:val="18"/>
          <w:szCs w:val="18"/>
          <w:rtl w:val="0"/>
        </w:rPr>
        <w:t xml:space="preserve">PDGFRB</w:t>
      </w:r>
      <w:r w:rsidDel="00000000" w:rsidR="00000000" w:rsidRPr="00000000">
        <w:rPr>
          <w:sz w:val="18"/>
          <w:szCs w:val="18"/>
          <w:rtl w:val="0"/>
        </w:rPr>
        <w:t xml:space="preserve"> overexpression of infantile fibrosarcoma-like tumor resulted in clinical and radiological disease-free survival of at least 9 months (PMID: 33028644).</w:t>
      </w:r>
    </w:p>
    <w:p w:rsidR="00000000" w:rsidDel="00000000" w:rsidP="00000000" w:rsidRDefault="00000000" w:rsidRPr="00000000" w14:paraId="00000045">
      <w:pPr>
        <w:ind w:left="708.661417322834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ind w:left="425.19685039370086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MET inhibitors showed good efficacy in MET-KIF5B fusion in other tumor types.</w:t>
      </w:r>
    </w:p>
    <w:p w:rsidR="00000000" w:rsidDel="00000000" w:rsidP="00000000" w:rsidRDefault="00000000" w:rsidRPr="00000000" w14:paraId="00000047">
      <w:pPr>
        <w:ind w:left="0" w:firstLine="0"/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                                               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MOLECULAR EVIDENCE LEVEL</w:t>
      </w:r>
    </w:p>
    <w:p w:rsidR="00000000" w:rsidDel="00000000" w:rsidP="00000000" w:rsidRDefault="00000000" w:rsidRPr="00000000" w14:paraId="0000004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• 2nd therapeutic approach</w:t>
      </w:r>
    </w:p>
    <w:p w:rsidR="00000000" w:rsidDel="00000000" w:rsidP="00000000" w:rsidRDefault="00000000" w:rsidRPr="00000000" w14:paraId="0000004A">
      <w:pPr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Multikinase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Inhibitor                                                                                                                                    m2A</w:t>
      </w:r>
    </w:p>
    <w:p w:rsidR="00000000" w:rsidDel="00000000" w:rsidP="00000000" w:rsidRDefault="00000000" w:rsidRPr="00000000" w14:paraId="0000004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KIT Q556 V559delinsH results in the deletion of 4 amino acids in the juxtamembrane domain (exon 11) of the Kit protein combined with the insertion of a histidine (H) at the same spot (PMID: 16226710). Q556_V559delinsH has not been characterized, however, similar Kit exon 11 deletions are activated (PMID: 9438854, PMID: 15365079) and are therefore predicted to lead to an enhancement of Kit protein function</w:t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lamtinib</w:t>
      </w:r>
      <w:r w:rsidDel="00000000" w:rsidR="00000000" w:rsidRPr="00000000">
        <w:rPr>
          <w:sz w:val="18"/>
          <w:szCs w:val="18"/>
          <w:rtl w:val="0"/>
        </w:rPr>
        <w:t xml:space="preserve">/dasatinib/nilotinib/</w:t>
      </w:r>
      <w:r w:rsidDel="00000000" w:rsidR="00000000" w:rsidRPr="00000000">
        <w:rPr>
          <w:sz w:val="18"/>
          <w:szCs w:val="18"/>
          <w:rtl w:val="0"/>
        </w:rPr>
        <w:t xml:space="preserve">ripretinib</w:t>
      </w:r>
      <w:r w:rsidDel="00000000" w:rsidR="00000000" w:rsidRPr="00000000">
        <w:rPr>
          <w:sz w:val="18"/>
          <w:szCs w:val="18"/>
          <w:rtl w:val="0"/>
        </w:rPr>
        <w:t xml:space="preserve"> is approved in melanoma with KIT mutations.</w:t>
      </w:r>
    </w:p>
    <w:p w:rsidR="00000000" w:rsidDel="00000000" w:rsidP="00000000" w:rsidRDefault="00000000" w:rsidRPr="00000000" w14:paraId="0000004F">
      <w:pPr>
        <w:numPr>
          <w:ilvl w:val="0"/>
          <w:numId w:val="13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Imatinib/Sunitinib is included in the guidelines for patients with GIST with sensitizing mutations such as KIT exon 11 mutations as adjuvant therapy for patients with localized disease and as first-line therapy for patients with locally advanced, unresectable, or metastatic disease (PMID: 34560242; ESMO. org).</w:t>
      </w:r>
    </w:p>
    <w:p w:rsidR="00000000" w:rsidDel="00000000" w:rsidP="00000000" w:rsidRDefault="00000000" w:rsidRPr="00000000" w14:paraId="00000050">
      <w:pPr>
        <w:numPr>
          <w:ilvl w:val="0"/>
          <w:numId w:val="13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In a clinical case study, treatment with Imatinib resulted in SD lasting at least 3 years in a patient with extraskeletal myxoid chondrosarcoma carrying KIT W557G (PMID: 34446510).</w:t>
      </w:r>
    </w:p>
    <w:p w:rsidR="00000000" w:rsidDel="00000000" w:rsidP="00000000" w:rsidRDefault="00000000" w:rsidRPr="00000000" w14:paraId="00000051">
      <w:pPr>
        <w:numPr>
          <w:ilvl w:val="0"/>
          <w:numId w:val="13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In a phase II study, treatment with Nilotinib resulted in an ORR of 26.2% (11/42) in melanoma patients with KIT mutations, including 11 patients with PR, an mDOR of 7.1 months, and an OS of 18 months (PMID: 28327988).</w:t>
      </w:r>
    </w:p>
    <w:p w:rsidR="00000000" w:rsidDel="00000000" w:rsidP="00000000" w:rsidRDefault="00000000" w:rsidRPr="00000000" w14:paraId="00000052">
      <w:pPr>
        <w:ind w:left="708.661417322834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2"/>
        </w:numPr>
        <w:ind w:left="566.9291338582675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In KIT mutations, sunitinib and imatinib showed good efficacy in GIST and sarcoma.</w:t>
      </w:r>
    </w:p>
    <w:p w:rsidR="00000000" w:rsidDel="00000000" w:rsidP="00000000" w:rsidRDefault="00000000" w:rsidRPr="00000000" w14:paraId="00000054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Recommendation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Evidence level</w:t>
            </w:r>
          </w:p>
        </w:tc>
        <w:tc>
          <w:tcPr>
            <w:shd w:fill="b7b7b7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Priority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MET-Inhibitor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M2A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Imatinib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M2A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5E">
      <w:pPr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combination of a molecularly targeted therapy with other systemic or local therapy modalities is at the discretion of the treating physician and is not ruled out by the Tumor Board recommendation.</w:t>
      </w:r>
    </w:p>
    <w:p w:rsidR="00000000" w:rsidDel="00000000" w:rsidP="00000000" w:rsidRDefault="00000000" w:rsidRPr="00000000" w14:paraId="0000005F">
      <w:pPr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1"/>
        </w:numPr>
        <w:ind w:left="720" w:hanging="360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Human Genetics Counseling</w:t>
      </w:r>
    </w:p>
    <w:p w:rsidR="00000000" w:rsidDel="00000000" w:rsidP="00000000" w:rsidRDefault="00000000" w:rsidRPr="00000000" w14:paraId="00000061">
      <w:pPr>
        <w:numPr>
          <w:ilvl w:val="0"/>
          <w:numId w:val="10"/>
        </w:numPr>
        <w:ind w:left="144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 Not required</w:t>
      </w:r>
    </w:p>
    <w:p w:rsidR="00000000" w:rsidDel="00000000" w:rsidP="00000000" w:rsidRDefault="00000000" w:rsidRPr="00000000" w14:paraId="00000062">
      <w:pPr>
        <w:ind w:left="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141.73228346456688" w:firstLine="0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Epicrisis:</w:t>
      </w:r>
    </w:p>
    <w:p w:rsidR="00000000" w:rsidDel="00000000" w:rsidP="00000000" w:rsidRDefault="00000000" w:rsidRPr="00000000" w14:paraId="00000064">
      <w:pPr>
        <w:ind w:left="141.73228346456688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There is a clinical rationale for the use of MET inhibitors when MET-KIF5B fusion is detected in other tumor types. In addition, Imatinib and Sunitinib show good efficacy in GIST and sarcoma with KIT mutation.</w:t>
      </w:r>
    </w:p>
    <w:p w:rsidR="00000000" w:rsidDel="00000000" w:rsidP="00000000" w:rsidRDefault="00000000" w:rsidRPr="00000000" w14:paraId="00000065">
      <w:pPr>
        <w:ind w:left="141.73228346456688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141.73228346456688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87.267716535433" w:type="dxa"/>
        <w:jc w:val="left"/>
        <w:tblInd w:w="141.7322834645668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43.633858267716"/>
        <w:gridCol w:w="4443.633858267716"/>
        <w:tblGridChange w:id="0">
          <w:tblGrid>
            <w:gridCol w:w="4443.633858267716"/>
            <w:gridCol w:w="4443.6338582677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med. A.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Desuk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Senior physician of the clinic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Specialist in internal medicine and hematology and oncology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Dr. med. M. Fried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Physician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Specialist in internal medicine and hematology and oncology</w:t>
            </w:r>
          </w:p>
        </w:tc>
      </w:tr>
    </w:tbl>
    <w:p w:rsidR="00000000" w:rsidDel="00000000" w:rsidP="00000000" w:rsidRDefault="00000000" w:rsidRPr="00000000" w14:paraId="00000071">
      <w:pPr>
        <w:ind w:left="141.73228346456688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Legend</w:t>
      </w:r>
    </w:p>
    <w:p w:rsidR="00000000" w:rsidDel="00000000" w:rsidP="00000000" w:rsidRDefault="00000000" w:rsidRPr="00000000" w14:paraId="0000007B">
      <w:pPr>
        <w:numPr>
          <w:ilvl w:val="0"/>
          <w:numId w:val="14"/>
        </w:numPr>
        <w:ind w:left="708.6614173228347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Findings that support the therapeutic approach</w:t>
      </w:r>
    </w:p>
    <w:p w:rsidR="00000000" w:rsidDel="00000000" w:rsidP="00000000" w:rsidRDefault="00000000" w:rsidRPr="00000000" w14:paraId="0000007C">
      <w:pPr>
        <w:numPr>
          <w:ilvl w:val="0"/>
          <w:numId w:val="5"/>
        </w:numPr>
        <w:ind w:left="708.6614173228347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Findings that do not support the therapeutic approach</w:t>
      </w:r>
    </w:p>
    <w:p w:rsidR="00000000" w:rsidDel="00000000" w:rsidP="00000000" w:rsidRDefault="00000000" w:rsidRPr="00000000" w14:paraId="0000007D">
      <w:pPr>
        <w:numPr>
          <w:ilvl w:val="0"/>
          <w:numId w:val="3"/>
        </w:numPr>
        <w:ind w:left="708.6614173228347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Reference that supports the therapeutic approach</w:t>
      </w:r>
    </w:p>
    <w:p w:rsidR="00000000" w:rsidDel="00000000" w:rsidP="00000000" w:rsidRDefault="00000000" w:rsidRPr="00000000" w14:paraId="0000007E">
      <w:pPr>
        <w:numPr>
          <w:ilvl w:val="0"/>
          <w:numId w:val="4"/>
        </w:numPr>
        <w:ind w:left="708.6614173228347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Reference that does not support the therapeutic approach</w:t>
      </w:r>
    </w:p>
    <w:p w:rsidR="00000000" w:rsidDel="00000000" w:rsidP="00000000" w:rsidRDefault="00000000" w:rsidRPr="00000000" w14:paraId="0000007F">
      <w:pPr>
        <w:numPr>
          <w:ilvl w:val="0"/>
          <w:numId w:val="9"/>
        </w:numPr>
        <w:ind w:left="720" w:hanging="360"/>
        <w:rPr>
          <w:color w:val="6aa84f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Range of courses currently available in Germany</w:t>
      </w:r>
    </w:p>
    <w:p w:rsidR="00000000" w:rsidDel="00000000" w:rsidP="00000000" w:rsidRDefault="00000000" w:rsidRPr="00000000" w14:paraId="00000080">
      <w:pPr>
        <w:numPr>
          <w:ilvl w:val="0"/>
          <w:numId w:val="9"/>
        </w:numPr>
        <w:ind w:left="720" w:hanging="360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Study offer, currently not available in Germany but in other European countries</w:t>
      </w:r>
    </w:p>
    <w:p w:rsidR="00000000" w:rsidDel="00000000" w:rsidP="00000000" w:rsidRDefault="00000000" w:rsidRPr="00000000" w14:paraId="00000081">
      <w:pPr>
        <w:numPr>
          <w:ilvl w:val="0"/>
          <w:numId w:val="9"/>
        </w:numPr>
        <w:ind w:left="720" w:hanging="360"/>
        <w:rPr>
          <w:color w:val="ff0000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Course offering, currently not available in Europe</w:t>
      </w:r>
    </w:p>
    <w:p w:rsidR="00000000" w:rsidDel="00000000" w:rsidP="00000000" w:rsidRDefault="00000000" w:rsidRPr="00000000" w14:paraId="0000008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CR:</w:t>
      </w:r>
      <w:r w:rsidDel="00000000" w:rsidR="00000000" w:rsidRPr="00000000">
        <w:rPr>
          <w:sz w:val="18"/>
          <w:szCs w:val="18"/>
          <w:rtl w:val="0"/>
        </w:rPr>
        <w:t xml:space="preserve"> complete response,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PR:</w:t>
      </w:r>
      <w:r w:rsidDel="00000000" w:rsidR="00000000" w:rsidRPr="00000000">
        <w:rPr>
          <w:sz w:val="18"/>
          <w:szCs w:val="18"/>
          <w:rtl w:val="0"/>
        </w:rPr>
        <w:t xml:space="preserve"> partial response,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DCR:</w:t>
      </w:r>
      <w:r w:rsidDel="00000000" w:rsidR="00000000" w:rsidRPr="00000000">
        <w:rPr>
          <w:sz w:val="18"/>
          <w:szCs w:val="18"/>
          <w:rtl w:val="0"/>
        </w:rPr>
        <w:t xml:space="preserve"> disease control rate,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ORR:</w:t>
      </w:r>
      <w:r w:rsidDel="00000000" w:rsidR="00000000" w:rsidRPr="00000000">
        <w:rPr>
          <w:sz w:val="18"/>
          <w:szCs w:val="18"/>
          <w:rtl w:val="0"/>
        </w:rPr>
        <w:t xml:space="preserve"> objective response rate,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gof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: </w:t>
      </w:r>
      <w:r w:rsidDel="00000000" w:rsidR="00000000" w:rsidRPr="00000000">
        <w:rPr>
          <w:sz w:val="18"/>
          <w:szCs w:val="18"/>
          <w:rtl w:val="0"/>
        </w:rPr>
        <w:t xml:space="preserve">gain of function,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lof:</w:t>
      </w:r>
      <w:r w:rsidDel="00000000" w:rsidR="00000000" w:rsidRPr="00000000">
        <w:rPr>
          <w:sz w:val="18"/>
          <w:szCs w:val="18"/>
          <w:rtl w:val="0"/>
        </w:rPr>
        <w:t xml:space="preserve"> loss of function,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VAF:</w:t>
      </w:r>
      <w:r w:rsidDel="00000000" w:rsidR="00000000" w:rsidRPr="00000000">
        <w:rPr>
          <w:sz w:val="18"/>
          <w:szCs w:val="18"/>
          <w:rtl w:val="0"/>
        </w:rPr>
        <w:t xml:space="preserve"> variant allele frequency,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TCN:</w:t>
      </w:r>
      <w:r w:rsidDel="00000000" w:rsidR="00000000" w:rsidRPr="00000000">
        <w:rPr>
          <w:sz w:val="18"/>
          <w:szCs w:val="18"/>
          <w:rtl w:val="0"/>
        </w:rPr>
        <w:t xml:space="preserve"> total copy number,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OS: </w:t>
      </w:r>
      <w:r w:rsidDel="00000000" w:rsidR="00000000" w:rsidRPr="00000000">
        <w:rPr>
          <w:sz w:val="18"/>
          <w:szCs w:val="18"/>
          <w:rtl w:val="0"/>
        </w:rPr>
        <w:t xml:space="preserve">overall survival,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PFS:</w:t>
      </w:r>
      <w:r w:rsidDel="00000000" w:rsidR="00000000" w:rsidRPr="00000000">
        <w:rPr>
          <w:sz w:val="18"/>
          <w:szCs w:val="18"/>
          <w:rtl w:val="0"/>
        </w:rPr>
        <w:t xml:space="preserve"> progression free survival</w:t>
      </w:r>
    </w:p>
    <w:p w:rsidR="00000000" w:rsidDel="00000000" w:rsidP="00000000" w:rsidRDefault="00000000" w:rsidRPr="00000000" w14:paraId="00000084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Evidence level</w:t>
      </w:r>
    </w:p>
    <w:p w:rsidR="00000000" w:rsidDel="00000000" w:rsidP="00000000" w:rsidRDefault="00000000" w:rsidRPr="00000000" w14:paraId="0000008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Prospective Study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/ Meta-analysis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Retrospective Study / Case Cohort Study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Case Report(s)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same tumor entity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m1A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m1B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m1C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Another tumor entity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m2A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m2B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m2C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Preclinical data (in vitro / in vivo models)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m3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Biological Rationale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30"/>
                <w:szCs w:val="30"/>
              </w:rPr>
            </w:pPr>
            <w:r w:rsidDel="00000000" w:rsidR="00000000" w:rsidRPr="00000000">
              <w:rPr>
                <w:sz w:val="30"/>
                <w:szCs w:val="30"/>
                <w:rtl w:val="0"/>
              </w:rPr>
              <w:t xml:space="preserve">m4</w:t>
            </w:r>
          </w:p>
        </w:tc>
      </w:tr>
    </w:tbl>
    <w:p w:rsidR="00000000" w:rsidDel="00000000" w:rsidP="00000000" w:rsidRDefault="00000000" w:rsidRPr="00000000" w14:paraId="0000009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8"/>
        </w:numPr>
        <w:ind w:left="283.46456692913375" w:hanging="283.46456692913375"/>
        <w:rPr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m1A  </w:t>
      </w:r>
      <w:r w:rsidDel="00000000" w:rsidR="00000000" w:rsidRPr="00000000">
        <w:rPr>
          <w:sz w:val="18"/>
          <w:szCs w:val="18"/>
          <w:rtl w:val="0"/>
        </w:rPr>
        <w:t xml:space="preserve"> In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the same tumor entity</w:t>
      </w:r>
      <w:r w:rsidDel="00000000" w:rsidR="00000000" w:rsidRPr="00000000">
        <w:rPr>
          <w:sz w:val="18"/>
          <w:szCs w:val="18"/>
          <w:rtl w:val="0"/>
        </w:rPr>
        <w:t xml:space="preserve">, the predictive value of the biomarker or clinical efficacy was demonstrated in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biomarker-stratified cohort</w:t>
      </w:r>
      <w:r w:rsidDel="00000000" w:rsidR="00000000" w:rsidRPr="00000000">
        <w:rPr>
          <w:sz w:val="18"/>
          <w:szCs w:val="18"/>
          <w:rtl w:val="0"/>
        </w:rPr>
        <w:t xml:space="preserve"> of an adequately powered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prospective study</w:t>
      </w:r>
      <w:r w:rsidDel="00000000" w:rsidR="00000000" w:rsidRPr="00000000">
        <w:rPr>
          <w:sz w:val="18"/>
          <w:szCs w:val="18"/>
          <w:rtl w:val="0"/>
        </w:rPr>
        <w:t xml:space="preserve"> 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meta-analysis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9F">
      <w:pPr>
        <w:numPr>
          <w:ilvl w:val="0"/>
          <w:numId w:val="8"/>
        </w:numPr>
        <w:ind w:left="283.46456692913375" w:hanging="283.46456692913375"/>
        <w:rPr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m1B</w:t>
      </w:r>
      <w:r w:rsidDel="00000000" w:rsidR="00000000" w:rsidRPr="00000000">
        <w:rPr>
          <w:sz w:val="18"/>
          <w:szCs w:val="18"/>
          <w:rtl w:val="0"/>
        </w:rPr>
        <w:t xml:space="preserve">   In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the same tumor entity</w:t>
      </w:r>
      <w:r w:rsidDel="00000000" w:rsidR="00000000" w:rsidRPr="00000000">
        <w:rPr>
          <w:sz w:val="18"/>
          <w:szCs w:val="18"/>
          <w:rtl w:val="0"/>
        </w:rPr>
        <w:t xml:space="preserve">, the predictive value of the biomarker or clinical efficacy was demonstrated in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retrospective cohort</w:t>
      </w:r>
      <w:r w:rsidDel="00000000" w:rsidR="00000000" w:rsidRPr="00000000">
        <w:rPr>
          <w:sz w:val="18"/>
          <w:szCs w:val="18"/>
          <w:rtl w:val="0"/>
        </w:rPr>
        <w:t xml:space="preserve"> 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case-control</w:t>
      </w:r>
      <w:r w:rsidDel="00000000" w:rsidR="00000000" w:rsidRPr="00000000">
        <w:rPr>
          <w:sz w:val="18"/>
          <w:szCs w:val="18"/>
          <w:rtl w:val="0"/>
        </w:rPr>
        <w:t xml:space="preserve"> study.</w:t>
      </w:r>
    </w:p>
    <w:p w:rsidR="00000000" w:rsidDel="00000000" w:rsidP="00000000" w:rsidRDefault="00000000" w:rsidRPr="00000000" w14:paraId="000000A0">
      <w:pPr>
        <w:numPr>
          <w:ilvl w:val="0"/>
          <w:numId w:val="8"/>
        </w:numPr>
        <w:ind w:left="283.46456692913375" w:hanging="283.46456692913375"/>
        <w:rPr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m2A   </w:t>
      </w:r>
      <w:r w:rsidDel="00000000" w:rsidR="00000000" w:rsidRPr="00000000">
        <w:rPr>
          <w:sz w:val="18"/>
          <w:szCs w:val="18"/>
          <w:rtl w:val="0"/>
        </w:rPr>
        <w:t xml:space="preserve">In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another tumor entity</w:t>
      </w:r>
      <w:r w:rsidDel="00000000" w:rsidR="00000000" w:rsidRPr="00000000">
        <w:rPr>
          <w:sz w:val="18"/>
          <w:szCs w:val="18"/>
          <w:rtl w:val="0"/>
        </w:rPr>
        <w:t xml:space="preserve">, the predictive value of the biomarker or clinical efficacy was demonstrated in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biomarker-stratified cohort</w:t>
      </w:r>
      <w:r w:rsidDel="00000000" w:rsidR="00000000" w:rsidRPr="00000000">
        <w:rPr>
          <w:sz w:val="18"/>
          <w:szCs w:val="18"/>
          <w:rtl w:val="0"/>
        </w:rPr>
        <w:t xml:space="preserve"> of an adequately powered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prospective study</w:t>
      </w:r>
      <w:r w:rsidDel="00000000" w:rsidR="00000000" w:rsidRPr="00000000">
        <w:rPr>
          <w:sz w:val="18"/>
          <w:szCs w:val="18"/>
          <w:rtl w:val="0"/>
        </w:rPr>
        <w:t xml:space="preserve"> 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meta-analysis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A1">
      <w:pPr>
        <w:numPr>
          <w:ilvl w:val="0"/>
          <w:numId w:val="8"/>
        </w:numPr>
        <w:ind w:left="283.46456692913375" w:hanging="283.46456692913375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m2B   </w:t>
      </w:r>
      <w:r w:rsidDel="00000000" w:rsidR="00000000" w:rsidRPr="00000000">
        <w:rPr>
          <w:sz w:val="18"/>
          <w:szCs w:val="18"/>
          <w:rtl w:val="0"/>
        </w:rPr>
        <w:t xml:space="preserve">In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another tumor entity</w:t>
      </w:r>
      <w:r w:rsidDel="00000000" w:rsidR="00000000" w:rsidRPr="00000000">
        <w:rPr>
          <w:sz w:val="18"/>
          <w:szCs w:val="18"/>
          <w:rtl w:val="0"/>
        </w:rPr>
        <w:t xml:space="preserve">, the predictive value of the biomarker or clinical efficacy was demonstrated in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retrospective cohort</w:t>
      </w:r>
      <w:r w:rsidDel="00000000" w:rsidR="00000000" w:rsidRPr="00000000">
        <w:rPr>
          <w:sz w:val="18"/>
          <w:szCs w:val="18"/>
          <w:rtl w:val="0"/>
        </w:rPr>
        <w:t xml:space="preserve"> 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case-control study</w:t>
      </w:r>
      <w:r w:rsidDel="00000000" w:rsidR="00000000" w:rsidRPr="00000000">
        <w:rPr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A2">
      <w:pPr>
        <w:numPr>
          <w:ilvl w:val="0"/>
          <w:numId w:val="8"/>
        </w:numPr>
        <w:ind w:left="283.46456692913375" w:hanging="283.46456692913375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m2C   </w:t>
      </w:r>
      <w:r w:rsidDel="00000000" w:rsidR="00000000" w:rsidRPr="00000000">
        <w:rPr>
          <w:sz w:val="18"/>
          <w:szCs w:val="18"/>
          <w:rtl w:val="0"/>
        </w:rPr>
        <w:t xml:space="preserve">Irrespective of the tumor entity,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clinical efficacy</w:t>
      </w:r>
      <w:r w:rsidDel="00000000" w:rsidR="00000000" w:rsidRPr="00000000">
        <w:rPr>
          <w:sz w:val="18"/>
          <w:szCs w:val="18"/>
          <w:rtl w:val="0"/>
        </w:rPr>
        <w:t xml:space="preserve"> has been demonstrated in one or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more case reports</w:t>
      </w:r>
      <w:r w:rsidDel="00000000" w:rsidR="00000000" w:rsidRPr="00000000">
        <w:rPr>
          <w:sz w:val="18"/>
          <w:szCs w:val="18"/>
          <w:rtl w:val="0"/>
        </w:rPr>
        <w:t xml:space="preserve"> in the presence of the biomarker.</w:t>
      </w:r>
    </w:p>
    <w:p w:rsidR="00000000" w:rsidDel="00000000" w:rsidP="00000000" w:rsidRDefault="00000000" w:rsidRPr="00000000" w14:paraId="000000A3">
      <w:pPr>
        <w:numPr>
          <w:ilvl w:val="0"/>
          <w:numId w:val="8"/>
        </w:numPr>
        <w:ind w:left="283.46456692913375" w:hanging="283.46456692913375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m3      Preclinical data</w:t>
      </w:r>
      <w:r w:rsidDel="00000000" w:rsidR="00000000" w:rsidRPr="00000000">
        <w:rPr>
          <w:sz w:val="18"/>
          <w:szCs w:val="18"/>
          <w:rtl w:val="0"/>
        </w:rPr>
        <w:t xml:space="preserve"> (in vitro/in vivo models, functional studies) show an association of the biomarker with the efficacy of the medication, which is supported by a scientific rationale.</w:t>
      </w:r>
    </w:p>
    <w:p w:rsidR="00000000" w:rsidDel="00000000" w:rsidP="00000000" w:rsidRDefault="00000000" w:rsidRPr="00000000" w14:paraId="000000A4">
      <w:pPr>
        <w:numPr>
          <w:ilvl w:val="0"/>
          <w:numId w:val="8"/>
        </w:numPr>
        <w:ind w:left="283.46456692913375" w:hanging="283.46456692913375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m4      </w:t>
      </w:r>
      <w:r w:rsidDel="00000000" w:rsidR="00000000" w:rsidRPr="00000000">
        <w:rPr>
          <w:sz w:val="18"/>
          <w:szCs w:val="18"/>
          <w:rtl w:val="0"/>
        </w:rPr>
        <w:t xml:space="preserve">A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scientific, biological rationale </w:t>
      </w:r>
      <w:r w:rsidDel="00000000" w:rsidR="00000000" w:rsidRPr="00000000">
        <w:rPr>
          <w:sz w:val="18"/>
          <w:szCs w:val="18"/>
          <w:rtl w:val="0"/>
        </w:rPr>
        <w:t xml:space="preserve">suggests an association of the biomarker with the efficacy of the medication, which is not yet supported by (pre-)clinical data.</w:t>
      </w:r>
    </w:p>
    <w:p w:rsidR="00000000" w:rsidDel="00000000" w:rsidP="00000000" w:rsidRDefault="00000000" w:rsidRPr="00000000" w14:paraId="000000A5">
      <w:pPr>
        <w:numPr>
          <w:ilvl w:val="0"/>
          <w:numId w:val="8"/>
        </w:numPr>
        <w:ind w:left="283.46456692913375" w:hanging="283.46456692913375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R1      Evidence for therapy resistance from clinical trials in the same entity</w:t>
      </w:r>
    </w:p>
    <w:p w:rsidR="00000000" w:rsidDel="00000000" w:rsidP="00000000" w:rsidRDefault="00000000" w:rsidRPr="00000000" w14:paraId="000000A6">
      <w:pPr>
        <w:numPr>
          <w:ilvl w:val="0"/>
          <w:numId w:val="8"/>
        </w:numPr>
        <w:ind w:left="283.46456692913375" w:hanging="283.46456692913375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R2      Evidence for therapy resistance from clinical studies in different entities or from in-vitro investigations</w:t>
      </w:r>
    </w:p>
    <w:p w:rsidR="00000000" w:rsidDel="00000000" w:rsidP="00000000" w:rsidRDefault="00000000" w:rsidRPr="00000000" w14:paraId="000000A7">
      <w:pPr>
        <w:numPr>
          <w:ilvl w:val="0"/>
          <w:numId w:val="8"/>
        </w:numPr>
        <w:ind w:left="283.46456692913375" w:hanging="283.46456692913375"/>
        <w:rPr>
          <w:b w:val="1"/>
          <w:bCs w:val="1"/>
          <w:sz w:val="18"/>
          <w:szCs w:val="18"/>
          <w:u w:val="non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Prefix u: Unclear evidence with contradictory study results, </w:t>
      </w:r>
      <w:r w:rsidDel="00000000" w:rsidR="00000000" w:rsidRPr="00000000">
        <w:rPr>
          <w:sz w:val="18"/>
          <w:szCs w:val="18"/>
          <w:rtl w:val="0"/>
        </w:rPr>
        <w:t xml:space="preserve">the evidence is given that is clinically most likely (comparison of the quality of the studies: prospective phase III, ...)</w:t>
      </w:r>
    </w:p>
    <w:p w:rsidR="00000000" w:rsidDel="00000000" w:rsidP="00000000" w:rsidRDefault="00000000" w:rsidRPr="00000000" w14:paraId="000000A8">
      <w:pPr>
        <w:ind w:left="708.6614173228347" w:firstLine="5.196850393700885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708.6614173228347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400.98425196850485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color w:val="38761d"/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1440" w:hanging="360"/>
      </w:pPr>
      <w:rPr>
        <w:color w:val="38761d"/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color w:val="ff0000"/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color w:val="ff0000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+"/>
      <w:lvlJc w:val="left"/>
      <w:pPr>
        <w:ind w:left="1440" w:hanging="360"/>
      </w:pPr>
      <w:rPr>
        <w:color w:val="38761d"/>
        <w:u w:val="none"/>
      </w:rPr>
    </w:lvl>
    <w:lvl w:ilvl="1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+"/>
      <w:lvlJc w:val="left"/>
      <w:pPr>
        <w:ind w:left="720" w:hanging="360"/>
      </w:pPr>
      <w:rPr>
        <w:color w:val="38761d"/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color w:val="ffd9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+"/>
      <w:lvlJc w:val="left"/>
      <w:pPr>
        <w:ind w:left="1440" w:hanging="360"/>
      </w:pPr>
      <w:rPr>
        <w:color w:val="38761d"/>
        <w:u w:val="none"/>
      </w:rPr>
    </w:lvl>
    <w:lvl w:ilvl="1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color w:val="1155cc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❖"/>
      <w:lvlJc w:val="left"/>
      <w:pPr>
        <w:ind w:left="720" w:hanging="360"/>
      </w:pPr>
      <w:rPr>
        <w:color w:val="6aa84f"/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+"/>
      <w:lvlJc w:val="left"/>
      <w:pPr>
        <w:ind w:left="1440" w:hanging="360"/>
      </w:pPr>
      <w:rPr>
        <w:color w:val="38761d"/>
        <w:u w:val="none"/>
      </w:rPr>
    </w:lvl>
    <w:lvl w:ilvl="1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uct-tumorboards@unimedizin-mainz.de" TargetMode="External"/><Relationship Id="rId7" Type="http://schemas.openxmlformats.org/officeDocument/2006/relationships/hyperlink" Target="http://www.unimedizin-mainz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