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firstLine="0"/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Complete blood count (CBC)</w:t>
      </w:r>
    </w:p>
    <w:p w:rsidR="00000000" w:rsidDel="00000000" w:rsidP="00000000" w:rsidRDefault="00000000" w:rsidRPr="00000000" w14:paraId="00000002">
      <w:pPr>
        <w:ind w:left="-425.19685039370086" w:firstLine="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65"/>
        <w:gridCol w:w="4695"/>
        <w:tblGridChange w:id="0">
          <w:tblGrid>
            <w:gridCol w:w="5565"/>
            <w:gridCol w:w="4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Patient: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Anastasia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Zherlitsyna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birth: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25-04-1976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Sex: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Patient ID: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110889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material collection: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14-03-2024 9:34 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issue of result: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14-03-2024 9:52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ind w:left="-425.19685039370086" w:firstLine="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75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705"/>
        <w:gridCol w:w="645"/>
        <w:gridCol w:w="1725"/>
        <w:gridCol w:w="2520"/>
        <w:tblGridChange w:id="0">
          <w:tblGrid>
            <w:gridCol w:w="3780"/>
            <w:gridCol w:w="705"/>
            <w:gridCol w:w="645"/>
            <w:gridCol w:w="1725"/>
            <w:gridCol w:w="2520"/>
          </w:tblGrid>
        </w:tblGridChange>
      </w:tblGrid>
      <w:tr>
        <w:trPr>
          <w:cantSplit w:val="0"/>
          <w:trHeight w:val="285" w:hRule="atLeast"/>
          <w:tblHeader w:val="1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RESEARCH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White blood cells (WBC)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10^9/L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4,5-10 10^9/L 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Red blood cells (RBC)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10^12/L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3,9-5,1 10^12/L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Hemoglobin (HGB)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120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110-150 g/L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Hematocrit (HCT)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0.358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0.32-0.45 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Platelets (PLT)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193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10^9/L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150-350 10^9/L</w:t>
            </w:r>
          </w:p>
        </w:tc>
      </w:tr>
      <w:tr>
        <w:trPr>
          <w:cantSplit w:val="0"/>
          <w:trHeight w:val="32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Plateletcrit (PCT)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0.138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10^12/L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0.1-0.5 10^12/L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Mean corpuscular volume (MCV)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104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83-96 fl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Mean corpuscular hemoglobin (MCH)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34.8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26-34 pg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Mean corpuscular hemoglobin concentration (MCHC)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335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320-260 g/L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Red cell distribution width (RDW)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12-16 %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Mean Platelet Volume (MPV)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7.2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7.3-10 fl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Platelet distribution width (PDW)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11-16 %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Lymphocytes % (LYM%)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27.2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19-41 %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Monocytes % (MON%)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1-10 %</w:t>
            </w:r>
          </w:p>
        </w:tc>
      </w:tr>
      <w:tr>
        <w:trPr>
          <w:cantSplit w:val="0"/>
          <w:trHeight w:val="29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Granulocytes (GRA%)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63.7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49-79  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Absolute lymphocyte count (LYM#)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10^9/L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1.2-3.2 10^9/L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Monocytes (MON#)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10^9/L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0.3-0.8 10^9/L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Absolute granulocyte count (GRA#)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3.7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10^9/L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1.2-6.8 10^9/L</w:t>
            </w:r>
          </w:p>
        </w:tc>
      </w:tr>
    </w:tbl>
    <w:p w:rsidR="00000000" w:rsidDel="00000000" w:rsidP="00000000" w:rsidRDefault="00000000" w:rsidRPr="00000000" w14:paraId="00000069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Conventional designations:</w:t>
      </w:r>
    </w:p>
    <w:p w:rsidR="00000000" w:rsidDel="00000000" w:rsidP="00000000" w:rsidRDefault="00000000" w:rsidRPr="00000000" w14:paraId="0000006A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H - results above reference values </w:t>
      </w:r>
    </w:p>
    <w:p w:rsidR="00000000" w:rsidDel="00000000" w:rsidP="00000000" w:rsidRDefault="00000000" w:rsidRPr="00000000" w14:paraId="0000006B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L - results below reference values</w:t>
      </w:r>
    </w:p>
    <w:p w:rsidR="00000000" w:rsidDel="00000000" w:rsidP="00000000" w:rsidRDefault="00000000" w:rsidRPr="00000000" w14:paraId="0000006C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Primary sample - venous blood, capillary blood </w:t>
      </w:r>
    </w:p>
    <w:p w:rsidR="00000000" w:rsidDel="00000000" w:rsidP="00000000" w:rsidRDefault="00000000" w:rsidRPr="00000000" w14:paraId="0000006E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quality of the sample - satisfactory</w:t>
      </w:r>
    </w:p>
    <w:p w:rsidR="00000000" w:rsidDel="00000000" w:rsidP="00000000" w:rsidRDefault="00000000" w:rsidRPr="00000000" w14:paraId="0000006F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Research method - impedance, microscopic</w:t>
      </w:r>
    </w:p>
    <w:p w:rsidR="00000000" w:rsidDel="00000000" w:rsidP="00000000" w:rsidRDefault="00000000" w:rsidRPr="00000000" w14:paraId="00000070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50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85"/>
        <w:gridCol w:w="2865"/>
        <w:tblGridChange w:id="0">
          <w:tblGrid>
            <w:gridCol w:w="6585"/>
            <w:gridCol w:w="28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Responsible person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ind w:left="-570" w:hanging="225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Head of the laboratory Shevchenko Y.A.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Performer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Paramedic and laboratory assistant Kalashnik Yana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614363" cy="666773"/>
                  <wp:effectExtent b="0" l="0" r="0" t="0"/>
                  <wp:docPr id="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63" cy="6667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-425.1968503937008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ind w:left="-425.19685039370086" w:firstLine="0"/>
      <w:rPr>
        <w:rFonts w:ascii="Calibri" w:cs="Calibri" w:eastAsia="Calibri" w:hAnsi="Calibri"/>
        <w:i w:val="1"/>
        <w:iCs w:val="1"/>
        <w:sz w:val="16"/>
        <w:szCs w:val="16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  <w:rtl w:val="0"/>
      </w:rPr>
      <w:t xml:space="preserve">Laboratory test results are not a diagnosis.</w:t>
    </w:r>
  </w:p>
  <w:p w:rsidR="00000000" w:rsidDel="00000000" w:rsidP="00000000" w:rsidRDefault="00000000" w:rsidRPr="00000000" w14:paraId="00000083">
    <w:pPr>
      <w:ind w:left="-425.19685039370086" w:firstLine="0"/>
      <w:rPr>
        <w:rFonts w:ascii="Calibri" w:cs="Calibri" w:eastAsia="Calibri" w:hAnsi="Calibri"/>
        <w:i w:val="1"/>
        <w:iCs w:val="1"/>
        <w:sz w:val="16"/>
        <w:szCs w:val="16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  <w:rtl w:val="0"/>
      </w:rPr>
      <w:t xml:space="preserve">To interpret the results and establish a diagnosis, consult a doctor.</w:t>
    </w:r>
  </w:p>
  <w:p w:rsidR="00000000" w:rsidDel="00000000" w:rsidP="00000000" w:rsidRDefault="00000000" w:rsidRPr="00000000" w14:paraId="00000084">
    <w:pPr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</w:rPr>
      <w:drawing>
        <wp:inline distB="114300" distT="114300" distL="114300" distR="114300">
          <wp:extent cx="5738813" cy="73342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8813" cy="7334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ind w:left="-425.19685039370086" w:firstLine="0"/>
      <w:rPr/>
    </w:pPr>
    <w:r w:rsidDel="00000000" w:rsidR="00000000" w:rsidRPr="00000000">
      <w:rPr>
        <w:rtl w:val="0"/>
      </w:rPr>
    </w:r>
  </w:p>
  <w:tbl>
    <w:tblPr>
      <w:tblStyle w:val="Table4"/>
      <w:tblW w:w="9825.0" w:type="dxa"/>
      <w:jc w:val="left"/>
      <w:tblInd w:w="-800.1968503937009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5100"/>
      <w:gridCol w:w="4725"/>
      <w:tblGridChange w:id="0">
        <w:tblGrid>
          <w:gridCol w:w="5100"/>
          <w:gridCol w:w="4725"/>
        </w:tblGrid>
      </w:tblGridChange>
    </w:tblGrid>
    <w:tr>
      <w:trPr>
        <w:cantSplit w:val="0"/>
        <w:trHeight w:val="2289.5678710937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79">
          <w:pPr>
            <w:ind w:left="141.73228346456688" w:firstLine="0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519363" cy="1259681"/>
                <wp:effectExtent b="0" l="0" r="0" t="0"/>
                <wp:docPr id="1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9363" cy="125968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7A">
          <w:pPr>
            <w:spacing w:line="240" w:lineRule="auto"/>
            <w:jc w:val="center"/>
            <w:rPr>
              <w:rFonts w:ascii="Calibri" w:cs="Calibri" w:eastAsia="Calibri" w:hAnsi="Calibri"/>
              <w:color w:val="783f04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spacing w:line="240" w:lineRule="auto"/>
            <w:jc w:val="center"/>
            <w:rPr>
              <w:rFonts w:ascii="Calibri" w:cs="Calibri" w:eastAsia="Calibri" w:hAnsi="Calibri"/>
              <w:color w:val="783f04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color w:val="783f04"/>
              <w:sz w:val="32"/>
              <w:szCs w:val="32"/>
              <w:rtl w:val="0"/>
            </w:rPr>
            <w:t xml:space="preserve">RESEARCH </w:t>
          </w:r>
        </w:p>
        <w:p w:rsidR="00000000" w:rsidDel="00000000" w:rsidP="00000000" w:rsidRDefault="00000000" w:rsidRPr="00000000" w14:paraId="0000007C">
          <w:pPr>
            <w:spacing w:line="240" w:lineRule="auto"/>
            <w:jc w:val="center"/>
            <w:rPr>
              <w:rFonts w:ascii="Calibri" w:cs="Calibri" w:eastAsia="Calibri" w:hAnsi="Calibri"/>
              <w:color w:val="783f04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color w:val="783f04"/>
              <w:sz w:val="32"/>
              <w:szCs w:val="32"/>
              <w:rtl w:val="0"/>
            </w:rPr>
            <w:t xml:space="preserve">RESULTS</w:t>
          </w:r>
        </w:p>
        <w:p w:rsidR="00000000" w:rsidDel="00000000" w:rsidP="00000000" w:rsidRDefault="00000000" w:rsidRPr="00000000" w14:paraId="0000007D">
          <w:pPr>
            <w:spacing w:line="240" w:lineRule="auto"/>
            <w:jc w:val="center"/>
            <w:rPr>
              <w:rFonts w:ascii="Calibri" w:cs="Calibri" w:eastAsia="Calibri" w:hAnsi="Calibri"/>
              <w:color w:val="783f04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E">
          <w:pPr>
            <w:spacing w:line="240" w:lineRule="auto"/>
            <w:jc w:val="center"/>
            <w:rPr>
              <w:rFonts w:ascii="Calibri" w:cs="Calibri" w:eastAsia="Calibri" w:hAnsi="Calibri"/>
              <w:color w:val="783f04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color w:val="783f04"/>
              <w:sz w:val="24"/>
              <w:szCs w:val="24"/>
              <w:rtl w:val="0"/>
            </w:rPr>
            <w:t xml:space="preserve">LISOD Clinical Laboratory</w:t>
          </w:r>
        </w:p>
        <w:p w:rsidR="00000000" w:rsidDel="00000000" w:rsidP="00000000" w:rsidRDefault="00000000" w:rsidRPr="00000000" w14:paraId="0000007F">
          <w:pPr>
            <w:ind w:left="-425.19685039370086" w:firstLine="0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0">
          <w:pPr>
            <w:spacing w:line="240" w:lineRule="auto"/>
            <w:jc w:val="center"/>
            <w:rPr>
              <w:color w:val="783f0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1">
    <w:pPr>
      <w:ind w:left="-425.19685039370086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