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Xf01c0aac5d59b5853e11d34439207d2376d1f94"/>
    <w:p>
      <w:pPr>
        <w:pStyle w:val="Heading1"/>
      </w:pPr>
      <w:r>
        <w:t xml:space="preserve">Pathohistological examination of the gastric and liver biopsies of 05.10.2026 — Shalimov National Scientific Center of Surgery and Transplantology, Kyiv (English translation)</w:t>
      </w:r>
    </w:p>
    <w:p>
      <w:pPr>
        <w:pStyle w:val="FirstParagraph"/>
      </w:pPr>
      <w:r>
        <w:t xml:space="preserve">Referral and report on one page, medical documentation form No. 014/o (Форма № 014/о), approved by order of the Ministry of Health of Ukraine of 29.05.2013 No. 435. Electronic document; the signature lines are empty and there are no stamps or handwritten entries.</w:t>
      </w:r>
    </w:p>
    <w:p>
      <w:pPr>
        <w:pStyle w:val="BodyText"/>
      </w:pPr>
      <w:r>
        <w:rPr>
          <w:b/>
          <w:bCs/>
        </w:rPr>
        <w:t xml:space="preserve">Institution:</w:t>
      </w:r>
      <w:r>
        <w:t xml:space="preserve"> </w:t>
      </w:r>
      <w:r>
        <w:t xml:space="preserve">Ministry of Health of Ukraine; National Academy of Medical Sciences of Ukraine; State Institution</w:t>
      </w:r>
      <w:r>
        <w:t xml:space="preserve"> </w:t>
      </w:r>
      <w:r>
        <w:t xml:space="preserve">“O.O. Shalimov National Scientific Center of Surgery and Transplantology”</w:t>
      </w:r>
      <w:r>
        <w:t xml:space="preserve"> </w:t>
      </w:r>
      <w:r>
        <w:t xml:space="preserve">(ДУ «Національний науковий центр хірургії та трансплантології імені О.О. Шалімова»), 30 Akademika Shalimova Street, Kyiv.</w:t>
      </w:r>
    </w:p>
    <w:bookmarkStart w:id="9" w:name="X0dd8d1b54c12d948f3aa2f5c8d07e2e5aa24df4"/>
    <w:p>
      <w:pPr>
        <w:pStyle w:val="Heading2"/>
      </w:pPr>
      <w:r>
        <w:t xml:space="preserve">Referral for pathohistological examination (Направлення на патологогістологічне дослідження)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No. 4222/26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and time the material was sent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05.10.26 (no time given)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“IV”</w:t>
            </w:r>
            <w:r>
              <w:t xml:space="preserve"> </w:t>
            </w:r>
            <w:r>
              <w:t xml:space="preserve">(Відділення «IV»)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Inpatient medical card (Медична карта стаціонарного хворого)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No. 9577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Patient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Zherlitsyna Anastasiia Stanislavivna (Жерліцина Анастасія Станіславівна)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Sex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female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“1971 р.н.”</w:t>
            </w:r>
            <w:r>
              <w:t xml:space="preserve"> </w:t>
            </w:r>
            <w:r>
              <w:t xml:space="preserve">(year of birth 1971) —</w:t>
            </w:r>
            <w:r>
              <w:t xml:space="preserve"> </w:t>
            </w:r>
            <w:r>
              <w:rPr>
                <w:i/>
                <w:iCs/>
              </w:rPr>
              <w:t xml:space="preserve">see note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 Biopsy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(Біопсія первинна)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5. For a repeat biopsy, number and date of the primary 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(blank)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6. Date and type of operation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05.10.26 — diagnostic laparoscopy (діагностична лапароскопія). Incisional biopsy of the gastric neoplasm (інцизійна біопсія новоутворення шлунка). Trepan biopsy of the focal lesion Sg II–III of the liver under ultrasound guidance (трепан-біопсія вогнищевого утворення Sg II–III печінки під УЗ-контролем).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7. Labelling of the material, number of objects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neoplasm (GIST) of the stomach; 2) liver tissue with the lesion (тканина печінки з утворенням)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8. Clinical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(blank)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9. Clinical diagnosis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GIST of the stomach. Metastases to the liver (Мтс в печінку). State after therapy (стан після терапії).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Referring doctor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Ostapyshen O.M. (Остапишен О.М.); signature line empty</w:t>
            </w:r>
          </w:p>
        </w:tc>
      </w:tr>
    </w:tbl>
    <w:bookmarkEnd w:id="9"/>
    <w:bookmarkStart w:id="12" w:name="pathology-report"/>
    <w:p>
      <w:pPr>
        <w:pStyle w:val="Heading2"/>
      </w:pPr>
      <w:r>
        <w:t xml:space="preserve">Pathology report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the material was received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06.10.26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Number of pieces / blocks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pieces (шматочків), 2 blocks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haematoxylin and eosin (гем-еозин), immunohistochemistry (ІГХ)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Macroscopic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fragment of soft tissue 1.5 × 1 × 1.5 cm, pale yellow (блідо-жовтого кольору); 2) 2 cores of soft tissue (2 стовпчика м’яких тканин), total size 0.7 × 0.2 × 0.2 cm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Labelling of the preparations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blocks No. 1–2 — material as in the referral</w:t>
            </w:r>
          </w:p>
        </w:tc>
      </w:tr>
    </w:tbl>
    <w:bookmarkStart w:id="10" w:name="Xc260b86e45111e263931bf133a8ee94b6d55fd1"/>
    <w:p>
      <w:pPr>
        <w:pStyle w:val="Heading3"/>
      </w:pPr>
      <w:r>
        <w:t xml:space="preserve">Immunohistochemistry (performed on the liver-lesion biopsy material — проведено на матеріалі біопсії утворення печінки)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Marker (clone)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CD117 / c-kit (RM359)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positive reaction in the tumour cells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DOG-1 (DOG1.1)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positive reaction in the tumour cells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Ki-67 (MIB-1)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2 %</w:t>
            </w:r>
          </w:p>
        </w:tc>
      </w:tr>
    </w:tbl>
    <w:bookmarkEnd w:id="10"/>
    <w:bookmarkStart w:id="11" w:name="X6040877105a23dbb0269f136e8d68091f3105bc"/>
    <w:p>
      <w:pPr>
        <w:pStyle w:val="Heading3"/>
      </w:pPr>
      <w:r>
        <w:t xml:space="preserve">Pathohistological conclusion (Патогістологічний висновок)</w:t>
      </w:r>
    </w:p>
    <w:p>
      <w:pPr>
        <w:pStyle w:val="FirstParagraph"/>
      </w:pPr>
      <w:r>
        <w:t xml:space="preserve">The fragment of the gastric lesion consists of hyalinised tissue (гіалінізованою тканиною), without viable tumour cells (без вітальних клітин пухлини), which may be a consequence of the therapy given (що може бути наслідком проведеної терапії). The liver trepan-biopsy material contains a metastasis of gastrointestinal stromal tumour (GIST), spindle-cell variant (веретеноклітинний варіант), Low Grade (written in English in the original).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the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13.10.26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Pathologists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Chepur N.V. (Чепур Н.В.); Kropelnytskyi V.O. (Кропельницький В.О.); signature lines empty</w:t>
            </w:r>
          </w:p>
        </w:tc>
      </w:tr>
    </w:tbl>
    <w:bookmarkEnd w:id="11"/>
    <w:bookmarkEnd w:id="12"/>
    <w:bookmarkStart w:id="13" w:name="X8ea58205d8b2fc253d49bbbe1a2ce10d12bdf9b"/>
    <w:p>
      <w:pPr>
        <w:pStyle w:val="Heading2"/>
      </w:pPr>
      <w:r>
        <w:t xml:space="preserve">Notes added in translation (not part of the report)</w:t>
      </w:r>
    </w:p>
    <w:p>
      <w:pPr>
        <w:pStyle w:val="Compact"/>
        <w:numPr>
          <w:ilvl w:val="0"/>
          <w:numId w:val="1001"/>
        </w:numPr>
      </w:pPr>
      <w:r>
        <w:t xml:space="preserve">The form gives the year of birth as 1971; the patient was born on 25.04.1976 (earlier reports, e.g. the Israeli pathology report of 04.06.2023). The name and the clinical history match.</w:t>
      </w:r>
    </w:p>
    <w:p>
      <w:pPr>
        <w:pStyle w:val="Compact"/>
        <w:numPr>
          <w:ilvl w:val="0"/>
          <w:numId w:val="1001"/>
        </w:numPr>
      </w:pPr>
      <w:r>
        <w:t xml:space="preserve">Immunohistochemistry and Ki-67 were done on the liver biopsy only. No IHC is reported for the gastric fragment.</w:t>
      </w:r>
    </w:p>
    <w:p>
      <w:pPr>
        <w:pStyle w:val="Compact"/>
        <w:numPr>
          <w:ilvl w:val="0"/>
          <w:numId w:val="1001"/>
        </w:numPr>
      </w:pPr>
      <w:r>
        <w:t xml:space="preserve">No mutational (KIT/PDGFRA) analysis is reported on either sample. The report gives no mitotic count.</w:t>
      </w:r>
    </w:p>
    <w:p>
      <w:pPr>
        <w:pStyle w:val="Compact"/>
        <w:numPr>
          <w:ilvl w:val="0"/>
          <w:numId w:val="1001"/>
        </w:numPr>
      </w:pPr>
      <w:r>
        <w:t xml:space="preserve">“Focal lesion Sg II–III”</w:t>
      </w:r>
      <w:r>
        <w:t xml:space="preserve"> </w:t>
      </w:r>
      <w:r>
        <w:t xml:space="preserve">is the left-lobe lesion that imaging places in segments II/III (L1 on the case site). This match is by location only; the report gives no size or image reference for the punctured lesion.</w:t>
      </w:r>
    </w:p>
    <w:p>
      <w:pPr>
        <w:pStyle w:val="Compact"/>
        <w:numPr>
          <w:ilvl w:val="0"/>
          <w:numId w:val="1001"/>
        </w:numPr>
      </w:pPr>
      <w:r>
        <w:t xml:space="preserve">“Biopsy: primary”</w:t>
      </w:r>
      <w:r>
        <w:t xml:space="preserve"> </w:t>
      </w:r>
      <w:r>
        <w:t xml:space="preserve">is a form field; the earlier biopsies (2022–2023) were done at other institutions.</w:t>
      </w:r>
    </w:p>
    <w:p>
      <w:pPr>
        <w:pStyle w:val="FirstParagraph"/>
      </w:pPr>
      <w:r>
        <w:t xml:space="preserve">Translation note: plain English translation of the Ukrainian original for reference; not a certified translation.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2026-10-13T12:17:25Z</dcterms:created>
  <dcterms:modified xsi:type="dcterms:W3CDTF">2026-10-13T12:17:25Z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