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96d93c90041cb4f14a4fce15165270faf3c349d"/>
    <w:p>
      <w:pPr>
        <w:pStyle w:val="Heading1"/>
      </w:pPr>
      <w:r>
        <w:t xml:space="preserve">Blood tests, 30.09.2026 — LISOD clinical laboratory (English translation)</w:t>
      </w:r>
    </w:p>
    <w:p>
      <w:pPr>
        <w:pStyle w:val="FirstParagraph"/>
      </w:pPr>
      <w:r>
        <w:rPr>
          <w:b/>
          <w:bCs/>
        </w:rPr>
        <w:t xml:space="preserve">Patient:</w:t>
      </w:r>
      <w:r>
        <w:t xml:space="preserve"> </w:t>
      </w:r>
      <w:r>
        <w:t xml:space="preserve">Zherlitsyna Anastasiia Stanislavivna, born 25.04.1976, patient ID 110889.</w:t>
      </w:r>
      <w:r>
        <w:t xml:space="preserve"> </w:t>
      </w:r>
      <w:r>
        <w:rPr>
          <w:b/>
          <w:bCs/>
        </w:rPr>
        <w:t xml:space="preserve">Sample taken:</w:t>
      </w:r>
      <w:r>
        <w:t xml:space="preserve"> </w:t>
      </w:r>
      <w:r>
        <w:t xml:space="preserve">30.09.2026, 09:48 (venous blood; serum/plasma for biochemistry).</w:t>
      </w:r>
      <w:r>
        <w:t xml:space="preserve"> </w:t>
      </w:r>
      <w:r>
        <w:rPr>
          <w:b/>
          <w:bCs/>
        </w:rPr>
        <w:t xml:space="preserve">Laboratory:</w:t>
      </w:r>
      <w:r>
        <w:t xml:space="preserve"> </w:t>
      </w:r>
      <w:r>
        <w:t xml:space="preserve">LISOD clinical laboratory (Medix-Ray International Group LLC; ISO 15189:2022 accreditation No. 30091). Results issued 30.09.2026 at 10:04 (CBC) and 10:25 (biochemistry). Head of laboratory: Shevchenko Yu.A.</w:t>
      </w:r>
    </w:p>
    <w:p>
      <w:pPr>
        <w:pStyle w:val="BodyText"/>
      </w:pPr>
      <w:r>
        <w:t xml:space="preserve">Context: baseline tests on the day regorafenib (Stivarga 40 mg tablets × 84) was dispensed at LISOD; the drug has not been started yet.</w:t>
      </w:r>
    </w:p>
    <w:bookmarkStart w:id="9" w:name="complete-blood-count-cbc-order-697310"/>
    <w:p>
      <w:pPr>
        <w:pStyle w:val="Heading2"/>
      </w:pPr>
      <w:r>
        <w:t xml:space="preserve">Complete blood count (CBC), order 697310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White blood cells (WBC)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×10⁹/L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3.7–9.5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Red blood cells (RBC)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3.49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×10¹²/L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3.9–5.1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Haemoglobin (HGB)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110–150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Haematocrit (HCT)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0.32–0.45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Platelets (PLT)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×10⁹/L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150–350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Plateletcrit (PCT)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(printed as 10¹²/L)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0.1–0.5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Mean corpuscular volume (MCV)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83–96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Mean corpuscular haemoglobin (MCH)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34.7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26–34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MCH concentration (MCHC)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320–360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Red cell distribution width (RDW)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12–16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Mean platelet volume (MPV)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7.3–10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Platelet distribution width (PDW)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11–16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Lymphocytes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19–41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Monocytes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1–10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Granulocytes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49–79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Lymphocytes, absolute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×10⁹/L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1.2–3.2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Monocytes, absolute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×10⁹/L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0.3–0.8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Granulocytes, absolute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×10⁹/L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1.2–6.8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blood-biochemistry-order-697360"/>
    <w:p>
      <w:pPr>
        <w:pStyle w:val="Heading2"/>
      </w:pPr>
      <w:r>
        <w:t xml:space="preserve">Blood biochemistry, order 697360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Glucose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6.9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4.11–5.89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0–8.3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Creatinine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86.5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44–80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Calcium,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2.15–2.55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Uric acid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142.8–339.2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protein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66–87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Albumin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35–52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AST (SGOT)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33.1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ALT (SGPT)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0–33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Lactate dehydrogenase (LDH)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278.8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135–214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Alkaline phosphatase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35–105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Gamma-glutamyl transferase (GGT)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6–42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Bilirubin,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0–21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Bilirubin, indirect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Bilirubin, direct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135–148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Potassium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3.5–5.3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Chloride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98–107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Calcium, ionised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1.13–1.32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</w:t>
            </w:r>
          </w:p>
        </w:tc>
      </w:tr>
    </w:tbl>
    <w:p>
      <w:pPr>
        <w:pStyle w:val="BodyText"/>
      </w:pPr>
      <w:r>
        <w:t xml:space="preserve">Flags as printed by the laboratory: H = above, L = below the reference range. Computed here, not on the lab report: eGFR ≈ 70 mL/min/1.73 m² (CKD-EPI 2021, creatinine 86.5 µmol/L, female, 50 years).</w:t>
      </w:r>
    </w:p>
    <w:p>
      <w:pPr>
        <w:pStyle w:val="BodyText"/>
      </w:pPr>
      <w:r>
        <w:t xml:space="preserve">Translation note: plain-language English translation of the Ukrainian originals for reference; not a certified translation. Laboratory results are not a diagnosis.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2026-09-30T09:20:44Z</dcterms:created>
  <dcterms:modified xsi:type="dcterms:W3CDTF">2026-09-30T09:20:44Z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