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FoundationOne Liquid CDx — Clinical Summary</w:t>
      </w:r>
    </w:p>
    <w:p>
      <w:r>
        <w:t>Source (original, already in English): docs_eng/2026_new/FoundationOne_Liquid_CDx_20Aug2026.pdf</w:t>
      </w:r>
    </w:p>
    <w:p>
      <w:r>
        <w:t>Foundation Medicine GmbH (Roche). Next-generation sequencing (NGS) liquid biopsy assay of circulating tumor DNA (ctDNA), testing &gt;300 cancer-related genes.</w:t>
      </w:r>
    </w:p>
    <w:p>
      <w:pPr>
        <w:pStyle w:val="Heading2"/>
      </w:pPr>
      <w:r>
        <w:t>Report details</w:t>
      </w:r>
    </w:p>
    <w:p>
      <w:r>
        <w:rPr>
          <w:b/>
        </w:rPr>
        <w:t xml:space="preserve">Specimen collection date: </w:t>
      </w:r>
      <w:r>
        <w:t>20 August 2026 (blood draw)</w:t>
      </w:r>
    </w:p>
    <w:p>
      <w:r>
        <w:rPr>
          <w:b/>
        </w:rPr>
        <w:t xml:space="preserve">Report date: </w:t>
      </w:r>
      <w:r>
        <w:t>30 August 2026</w:t>
      </w:r>
    </w:p>
    <w:p>
      <w:r>
        <w:rPr>
          <w:b/>
        </w:rPr>
        <w:t xml:space="preserve">Ordered test #: </w:t>
      </w:r>
      <w:r>
        <w:t>ORD-2419716-01</w:t>
      </w:r>
    </w:p>
    <w:p>
      <w:r>
        <w:rPr>
          <w:b/>
        </w:rPr>
        <w:t xml:space="preserve">Tumor type: </w:t>
      </w:r>
      <w:r>
        <w:t>Stomach GIST</w:t>
      </w:r>
    </w:p>
    <w:p>
      <w:r>
        <w:rPr>
          <w:b/>
        </w:rPr>
        <w:t xml:space="preserve">Signed by: </w:t>
      </w:r>
      <w:r>
        <w:t>Tyler Janovitz, MD, PhD</w:t>
      </w:r>
    </w:p>
    <w:p>
      <w:pPr>
        <w:pStyle w:val="Heading2"/>
      </w:pPr>
      <w:r>
        <w:t>Biomarker findings</w:t>
      </w:r>
    </w:p>
    <w:p>
      <w:r>
        <w:rPr>
          <w:b/>
        </w:rPr>
        <w:t xml:space="preserve">Blood Tumor Mutational Burden: </w:t>
      </w:r>
      <w:r>
        <w:t>3 Muts/Mb (low)</w:t>
      </w:r>
    </w:p>
    <w:p>
      <w:r>
        <w:rPr>
          <w:b/>
        </w:rPr>
        <w:t xml:space="preserve">ctDNA Tumor Fraction: </w:t>
      </w:r>
      <w:r>
        <w:rPr>
          <w:b/>
        </w:rPr>
        <w:t>High (32%)</w:t>
      </w:r>
      <w:r>
        <w:t xml:space="preserve"> — indicates lower risk of false-negative results; genomic findings below are considered reliable.</w:t>
      </w:r>
    </w:p>
    <w:p>
      <w:r>
        <w:rPr>
          <w:b/>
        </w:rPr>
        <w:t xml:space="preserve">Microsatellite status: </w:t>
      </w:r>
      <w:r>
        <w:t>MSI-High not detected</w:t>
      </w:r>
    </w:p>
    <w:p>
      <w:pPr>
        <w:pStyle w:val="Heading2"/>
      </w:pPr>
      <w:r>
        <w:t>Genomic findings (4 alterations)</w:t>
      </w:r>
    </w:p>
    <w:p>
      <w:r>
        <w:rPr>
          <w:b/>
        </w:rPr>
        <w:t>KIT</w:t>
      </w:r>
      <w:r>
        <w:t xml:space="preserve"> — three co-occurring alterations, all likely acquired/secondary resistance mutations:</w:t>
      </w:r>
    </w:p>
    <w:p>
      <w:r>
        <w:t xml:space="preserve">  • exon 11 deletion (Q556_V559&gt;H) — VAF 17.0% — the original driver mutation</w:t>
      </w:r>
    </w:p>
    <w:p>
      <w:r>
        <w:t xml:space="preserve">  • exon 13 V654A — VAF 8.8%. </w:t>
      </w:r>
      <w:r>
        <w:rPr>
          <w:b/>
        </w:rPr>
        <w:t>Known secondary resistance mutation to imatinib and avapritinib.</w:t>
      </w:r>
    </w:p>
    <w:p>
      <w:r>
        <w:t xml:space="preserve">  • exon 18 A829P — VAF 4.0% — activation-loop resistance mutation, similar resistance profile to V654A</w:t>
      </w:r>
    </w:p>
    <w:p>
      <w:r>
        <w:rPr>
          <w:b/>
        </w:rPr>
        <w:t>BRCA2</w:t>
      </w:r>
      <w:r>
        <w:t xml:space="preserve"> T3085fs*26 — VAF 1.5%. </w:t>
      </w:r>
      <w:r>
        <w:rPr>
          <w:b/>
        </w:rPr>
        <w:t>Possible germline implication flagged by the lab (present in ClinVar as likely pathogenic/pathogenic); follow-up germline testing recommended to distinguish somatic vs. germline.</w:t>
      </w:r>
      <w:r>
        <w:t xml:space="preserve"> Relevant for PARP-inhibitor sensitivity, not directly GIST-related.</w:t>
      </w:r>
    </w:p>
    <w:p>
      <w:r>
        <w:rPr>
          <w:b/>
        </w:rPr>
        <w:t>CDKN2A</w:t>
      </w:r>
      <w:r>
        <w:t xml:space="preserve"> rearrangement, intron 2 — VAF 12.8%. Tumor-suppressor loss; associated with more aggressive disease and shorter survival in GIST, per the report's literature summary.</w:t>
      </w:r>
    </w:p>
    <w:p>
      <w:r>
        <w:rPr>
          <w:b/>
        </w:rPr>
        <w:t>MTOR</w:t>
      </w:r>
      <w:r>
        <w:t xml:space="preserve"> A1459D — VAF 0.21% (low-level). Activating mutation; may confer sensitivity to mTOR inhibitors, though clinical relevance in GIST specifically is not established.</w:t>
      </w:r>
    </w:p>
    <w:p>
      <w:pPr>
        <w:pStyle w:val="Heading2"/>
      </w:pPr>
      <w:r>
        <w:t>Therapy implications — key takeaway</w:t>
      </w:r>
    </w:p>
    <w:p>
      <w:r>
        <w:rPr>
          <w:b/>
        </w:rPr>
        <w:t xml:space="preserve">This report explains the clinical resistance already observed: </w:t>
      </w:r>
      <w:r>
        <w:t>the KIT V654A and A829P secondary mutations are well-documented drivers of resistance to Imatinib, Avapritinib, and Sunitinib — the drugs already tried or being tried on this patient.</w:t>
      </w:r>
    </w:p>
    <w:p>
      <w:r>
        <w:rPr>
          <w:b/>
        </w:rPr>
        <w:t>Flagged RESISTANT (extensive evidence, in this tumor type):</w:t>
      </w:r>
    </w:p>
    <w:p>
      <w:r>
        <w:t xml:space="preserve">  • Avapritinib — resistance likely (KIT V654A + A829P)</w:t>
      </w:r>
    </w:p>
    <w:p>
      <w:r>
        <w:t xml:space="preserve">  • Imatinib — resistance likely (KIT V654A)</w:t>
      </w:r>
    </w:p>
    <w:p>
      <w:r>
        <w:t xml:space="preserve">  • Sunitinib — resistance likely (KIT V654A)</w:t>
      </w:r>
    </w:p>
    <w:p>
      <w:r>
        <w:rPr>
          <w:b/>
        </w:rPr>
        <w:t>Therapies with clinical benefit in GIST (this tumor type):</w:t>
      </w:r>
    </w:p>
    <w:p>
      <w:r>
        <w:rPr>
          <w:b/>
        </w:rPr>
        <w:t xml:space="preserve">  • Regorafenib</w:t>
      </w:r>
      <w:r>
        <w:t xml:space="preserve"> — NCCN category 1 evidence in GIST; standard third-line option after imatinib/sunitinib failure; multiple Phase 2/3 trials support use, including specifically in patients with KIT exon 11 + secondary mutations.</w:t>
      </w:r>
    </w:p>
    <w:p>
      <w:r>
        <w:rPr>
          <w:b/>
        </w:rPr>
        <w:t>Unclear resistance:</w:t>
      </w:r>
    </w:p>
    <w:p>
      <w:r>
        <w:t xml:space="preserve">  • Ripretinib — mixed evidence; may still work depending on co-occurring mutation pattern</w:t>
      </w:r>
    </w:p>
    <w:p>
      <w:r>
        <w:rPr>
          <w:b/>
        </w:rPr>
        <w:t>Therapies with clinical benefit in other tumor types (off-label option in GIST, genomically supported):</w:t>
      </w:r>
    </w:p>
    <w:p>
      <w:r>
        <w:t xml:space="preserve">  • Dasatinib, Nilotinib, Ponatinib, Sorafenib — all have preclinical/clinical evidence of activity against KIT V654A / A-loop resistance mutations specifically, per the report's literature review</w:t>
      </w:r>
    </w:p>
    <w:p>
      <w:pPr>
        <w:pStyle w:val="Heading2"/>
      </w:pPr>
      <w:r>
        <w:t>Clinical trials</w:t>
      </w:r>
    </w:p>
    <w:p>
      <w:r>
        <w:t>Report lists 3 trials matched to the BRCA2 finding for PARP/ATR inhibitors (NCT05797168, NCT04341181, NCT04817956), located in Germany, UK, Turkey, Denmark, and Norway. 10 additional trials are referenced for KIT findings and 6 for CDKN2A (see full report, pages 15-32, for complete listings).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