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rPr/>
      </w:pPr>
      <w:r w:rsidDel="00000000" w:rsidR="00000000" w:rsidRPr="00000000">
        <w:rPr>
          <w:rtl w:val="0"/>
        </w:rPr>
        <w:t xml:space="preserve">29.08.2022: Elements of tumoris maligni of mesemchymal nature (LeiomyoSa?)</w:t>
      </w:r>
    </w:p>
    <w:p w:rsidR="00000000" w:rsidDel="00000000" w:rsidP="00000000" w:rsidRDefault="00000000" w:rsidRPr="00000000" w14:paraId="0000000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/>
      </w:pPr>
      <w:r w:rsidDel="00000000" w:rsidR="00000000" w:rsidRPr="00000000">
        <w:rPr>
          <w:rtl w:val="0"/>
        </w:rPr>
        <w:t xml:space="preserve">histology 31.08.2022: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  <w:t xml:space="preserve">"Taking into account the clinical data, there is more data in the biopsy material regarding metastases of leiomyosarcoma. Liver tissue is not detected in the biopsy material"</w:t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