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1174.7244094488178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hanging="283.46456692913375"/>
        <w:jc w:val="both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</w:rPr>
        <w:drawing>
          <wp:inline distB="0" distT="0" distL="0" distR="0">
            <wp:extent cx="2771775" cy="74295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7429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hanging="283.46456692913375"/>
        <w:jc w:val="center"/>
        <w:rPr>
          <w:rFonts w:ascii="PlumbC" w:cs="PlumbC" w:eastAsia="PlumbC" w:hAnsi="PlumbC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PlumbC" w:cs="PlumbC" w:eastAsia="PlumbC" w:hAnsi="PlumbC"/>
          <w:b w:val="1"/>
          <w:bCs w:val="1"/>
          <w:sz w:val="24"/>
          <w:szCs w:val="24"/>
          <w:u w:val="single"/>
          <w:rtl w:val="0"/>
        </w:rPr>
        <w:t xml:space="preserve">Conclusion of the pathomorphological study R 181 / 2023 (1)</w:t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PlumbC" w:cs="PlumbC" w:eastAsia="PlumbC" w:hAnsi="PlumbC"/>
          <w:sz w:val="24"/>
          <w:szCs w:val="24"/>
        </w:rPr>
        <w:sectPr>
          <w:headerReference r:id="rId7" w:type="default"/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b w:val="1"/>
          <w:bCs w:val="1"/>
          <w:rtl w:val="0"/>
        </w:rPr>
        <w:t xml:space="preserve">Patient: </w:t>
      </w:r>
      <w:r w:rsidDel="00000000" w:rsidR="00000000" w:rsidRPr="00000000">
        <w:rPr>
          <w:rFonts w:ascii="PlumbC" w:cs="PlumbC" w:eastAsia="PlumbC" w:hAnsi="PlumbC"/>
          <w:rtl w:val="0"/>
        </w:rPr>
        <w:t xml:space="preserve">ANASTASIA ZHERLITSYNA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b w:val="1"/>
          <w:bCs w:val="1"/>
          <w:rtl w:val="0"/>
        </w:rPr>
        <w:t xml:space="preserve">ID No.: </w:t>
      </w:r>
      <w:r w:rsidDel="00000000" w:rsidR="00000000" w:rsidRPr="00000000">
        <w:rPr>
          <w:rFonts w:ascii="PlumbC" w:cs="PlumbC" w:eastAsia="PlumbC" w:hAnsi="PlumbC"/>
          <w:rtl w:val="0"/>
        </w:rPr>
        <w:t xml:space="preserve">ME923960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b w:val="1"/>
          <w:bCs w:val="1"/>
          <w:rtl w:val="0"/>
        </w:rPr>
        <w:t xml:space="preserve">Birth date</w:t>
      </w:r>
      <w:r w:rsidDel="00000000" w:rsidR="00000000" w:rsidRPr="00000000">
        <w:rPr>
          <w:rFonts w:ascii="PlumbC" w:cs="PlumbC" w:eastAsia="PlumbC" w:hAnsi="PlumbC"/>
          <w:rtl w:val="0"/>
        </w:rPr>
        <w:t xml:space="preserve">: 25/04/1976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b w:val="1"/>
          <w:bCs w:val="1"/>
          <w:rtl w:val="0"/>
        </w:rPr>
        <w:t xml:space="preserve">Phone</w:t>
      </w:r>
      <w:r w:rsidDel="00000000" w:rsidR="00000000" w:rsidRPr="00000000">
        <w:rPr>
          <w:rFonts w:ascii="PlumbC" w:cs="PlumbC" w:eastAsia="PlumbC" w:hAnsi="PlumbC"/>
          <w:rtl w:val="0"/>
        </w:rPr>
        <w:t xml:space="preserve">: -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b w:val="1"/>
          <w:bCs w:val="1"/>
          <w:rtl w:val="0"/>
        </w:rPr>
        <w:t xml:space="preserve">Age</w:t>
      </w:r>
      <w:r w:rsidDel="00000000" w:rsidR="00000000" w:rsidRPr="00000000">
        <w:rPr>
          <w:rFonts w:ascii="PlumbC" w:cs="PlumbC" w:eastAsia="PlumbC" w:hAnsi="PlumbC"/>
          <w:rtl w:val="0"/>
        </w:rPr>
        <w:t xml:space="preserve">: 47   </w:t>
      </w:r>
      <w:r w:rsidDel="00000000" w:rsidR="00000000" w:rsidRPr="00000000">
        <w:rPr>
          <w:rFonts w:ascii="PlumbC" w:cs="PlumbC" w:eastAsia="PlumbC" w:hAnsi="PlumbC"/>
          <w:b w:val="1"/>
          <w:bCs w:val="1"/>
          <w:rtl w:val="0"/>
        </w:rPr>
        <w:t xml:space="preserve">Sex</w:t>
      </w:r>
      <w:r w:rsidDel="00000000" w:rsidR="00000000" w:rsidRPr="00000000">
        <w:rPr>
          <w:rFonts w:ascii="PlumbC" w:cs="PlumbC" w:eastAsia="PlumbC" w:hAnsi="PlumbC"/>
          <w:rtl w:val="0"/>
        </w:rPr>
        <w:t xml:space="preserve">: Female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b w:val="1"/>
          <w:bCs w:val="1"/>
          <w:rtl w:val="0"/>
        </w:rPr>
        <w:t xml:space="preserve">Client</w:t>
      </w:r>
      <w:r w:rsidDel="00000000" w:rsidR="00000000" w:rsidRPr="00000000">
        <w:rPr>
          <w:rFonts w:ascii="PlumbC" w:cs="PlumbC" w:eastAsia="PlumbC" w:hAnsi="PlumbC"/>
          <w:rtl w:val="0"/>
        </w:rPr>
        <w:t xml:space="preserve">: Manor</w:t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b w:val="1"/>
          <w:bCs w:val="1"/>
          <w:rtl w:val="0"/>
        </w:rPr>
        <w:t xml:space="preserve">Doctor</w:t>
      </w:r>
      <w:r w:rsidDel="00000000" w:rsidR="00000000" w:rsidRPr="00000000">
        <w:rPr>
          <w:rFonts w:ascii="PlumbC" w:cs="PlumbC" w:eastAsia="PlumbC" w:hAnsi="PlumbC"/>
          <w:rtl w:val="0"/>
        </w:rPr>
        <w:t xml:space="preserve">: 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b w:val="1"/>
          <w:bCs w:val="1"/>
          <w:rtl w:val="0"/>
        </w:rPr>
        <w:t xml:space="preserve">Phone</w:t>
      </w:r>
      <w:r w:rsidDel="00000000" w:rsidR="00000000" w:rsidRPr="00000000">
        <w:rPr>
          <w:rFonts w:ascii="PlumbC" w:cs="PlumbC" w:eastAsia="PlumbC" w:hAnsi="PlumbC"/>
          <w:rtl w:val="0"/>
        </w:rPr>
        <w:t xml:space="preserve">: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b w:val="1"/>
          <w:bCs w:val="1"/>
          <w:rtl w:val="0"/>
        </w:rPr>
        <w:t xml:space="preserve">Received</w:t>
      </w:r>
      <w:r w:rsidDel="00000000" w:rsidR="00000000" w:rsidRPr="00000000">
        <w:rPr>
          <w:rFonts w:ascii="PlumbC" w:cs="PlumbC" w:eastAsia="PlumbC" w:hAnsi="PlumbC"/>
          <w:rtl w:val="0"/>
        </w:rPr>
        <w:t xml:space="preserve">: 01/06/2023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b w:val="1"/>
          <w:bCs w:val="1"/>
          <w:rtl w:val="0"/>
        </w:rPr>
        <w:t xml:space="preserve">Referral date</w:t>
      </w:r>
      <w:r w:rsidDel="00000000" w:rsidR="00000000" w:rsidRPr="00000000">
        <w:rPr>
          <w:rFonts w:ascii="PlumbC" w:cs="PlumbC" w:eastAsia="PlumbC" w:hAnsi="PlumbC"/>
          <w:rtl w:val="0"/>
        </w:rPr>
        <w:t xml:space="preserve">: 01/06/2023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b w:val="1"/>
          <w:bCs w:val="1"/>
          <w:rtl w:val="0"/>
        </w:rPr>
        <w:t xml:space="preserve">Hospital No.</w:t>
      </w:r>
      <w:r w:rsidDel="00000000" w:rsidR="00000000" w:rsidRPr="00000000">
        <w:rPr>
          <w:rFonts w:ascii="PlumbC" w:cs="PlumbC" w:eastAsia="PlumbC" w:hAnsi="PlumbC"/>
          <w:rtl w:val="0"/>
        </w:rPr>
        <w:t xml:space="preserve">: 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PlumbC" w:cs="PlumbC" w:eastAsia="PlumbC" w:hAnsi="PlumbC"/>
        </w:rPr>
        <w:sectPr>
          <w:type w:val="continuous"/>
          <w:pgSz w:h="16834" w:w="11909" w:orient="portrait"/>
          <w:pgMar w:bottom="1890" w:top="1134" w:left="993" w:right="707" w:header="708" w:footer="708"/>
          <w:cols w:equalWidth="0" w:num="2">
            <w:col w:space="708" w:w="4749"/>
            <w:col w:space="0" w:w="4749"/>
          </w:cols>
        </w:sectPr>
      </w:pPr>
      <w:r w:rsidDel="00000000" w:rsidR="00000000" w:rsidRPr="00000000">
        <w:rPr>
          <w:rFonts w:ascii="PlumbC" w:cs="PlumbC" w:eastAsia="PlumbC" w:hAnsi="PlumbC"/>
          <w:b w:val="1"/>
          <w:bCs w:val="1"/>
          <w:rtl w:val="0"/>
        </w:rPr>
        <w:t xml:space="preserve">Destination</w:t>
      </w:r>
      <w:r w:rsidDel="00000000" w:rsidR="00000000" w:rsidRPr="00000000">
        <w:rPr>
          <w:rFonts w:ascii="PlumbC" w:cs="PlumbC" w:eastAsia="PlumbC" w:hAnsi="PlumbC"/>
          <w:rtl w:val="0"/>
        </w:rPr>
        <w:t xml:space="preserve">: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b w:val="1"/>
          <w:bCs w:val="1"/>
          <w:rtl w:val="0"/>
        </w:rPr>
        <w:t xml:space="preserve">Comments</w:t>
      </w:r>
      <w:r w:rsidDel="00000000" w:rsidR="00000000" w:rsidRPr="00000000">
        <w:rPr>
          <w:rFonts w:ascii="PlumbC" w:cs="PlumbC" w:eastAsia="PlumbC" w:hAnsi="PlumbC"/>
          <w:rtl w:val="0"/>
        </w:rPr>
        <w:t xml:space="preserve">: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PlumbC" w:cs="PlumbC" w:eastAsia="PlumbC" w:hAnsi="Plumb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PlumbC" w:cs="PlumbC" w:eastAsia="PlumbC" w:hAnsi="PlumbC"/>
          <w:b w:val="1"/>
          <w:bCs w:val="1"/>
          <w:u w:val="single"/>
        </w:rPr>
      </w:pPr>
      <w:r w:rsidDel="00000000" w:rsidR="00000000" w:rsidRPr="00000000">
        <w:rPr>
          <w:rFonts w:ascii="PlumbC" w:cs="PlumbC" w:eastAsia="PlumbC" w:hAnsi="PlumbC"/>
          <w:b w:val="1"/>
          <w:bCs w:val="1"/>
          <w:u w:val="single"/>
          <w:rtl w:val="0"/>
        </w:rPr>
        <w:t xml:space="preserve">Clinical diagnosis:</w:t>
      </w:r>
    </w:p>
    <w:p w:rsidR="00000000" w:rsidDel="00000000" w:rsidP="00000000" w:rsidRDefault="00000000" w:rsidRPr="00000000" w14:paraId="00000017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rtl w:val="0"/>
        </w:rPr>
        <w:t xml:space="preserve">The patient is 47 years old, from Ukraine.</w:t>
      </w:r>
    </w:p>
    <w:p w:rsidR="00000000" w:rsidDel="00000000" w:rsidP="00000000" w:rsidRDefault="00000000" w:rsidRPr="00000000" w14:paraId="00000018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rtl w:val="0"/>
        </w:rPr>
        <w:t xml:space="preserve">A revision (consultation) of the obtained microscopic preparations and paraffin blocks was carried out:</w:t>
      </w:r>
    </w:p>
    <w:p w:rsidR="00000000" w:rsidDel="00000000" w:rsidP="00000000" w:rsidRDefault="00000000" w:rsidRPr="00000000" w14:paraId="00000019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rtl w:val="0"/>
        </w:rPr>
        <w:t xml:space="preserve">23SP045591: Abdominal biopsy, gastrointestinal stromal tumor.</w:t>
      </w:r>
    </w:p>
    <w:p w:rsidR="00000000" w:rsidDel="00000000" w:rsidP="00000000" w:rsidRDefault="00000000" w:rsidRPr="00000000" w14:paraId="0000001A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rtl w:val="0"/>
        </w:rPr>
        <w:t xml:space="preserve">23SP046733: liver biopsy, gastrointestinal stromal tumor metastasis.</w:t>
      </w:r>
    </w:p>
    <w:p w:rsidR="00000000" w:rsidDel="00000000" w:rsidP="00000000" w:rsidRDefault="00000000" w:rsidRPr="00000000" w14:paraId="0000001B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rtl w:val="0"/>
        </w:rPr>
        <w:t xml:space="preserve">23CN007785/48278/22: Liver core biopsy: gastrointestinal stromal tumor metastasis.</w:t>
      </w:r>
    </w:p>
    <w:p w:rsidR="00000000" w:rsidDel="00000000" w:rsidP="00000000" w:rsidRDefault="00000000" w:rsidRPr="00000000" w14:paraId="0000001C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b w:val="1"/>
          <w:bCs w:val="1"/>
          <w:u w:val="single"/>
          <w:rtl w:val="0"/>
        </w:rPr>
        <w:t xml:space="preserve">Received samples: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rtl w:val="0"/>
        </w:rPr>
        <w:t xml:space="preserve">For conducting an audit (consultation) were received:</w:t>
      </w:r>
    </w:p>
    <w:p w:rsidR="00000000" w:rsidDel="00000000" w:rsidP="00000000" w:rsidRDefault="00000000" w:rsidRPr="00000000" w14:paraId="0000001F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rtl w:val="0"/>
        </w:rPr>
        <w:t xml:space="preserve">1.1. One (1) paraffin block number 23SP045591.</w:t>
      </w:r>
    </w:p>
    <w:p w:rsidR="00000000" w:rsidDel="00000000" w:rsidP="00000000" w:rsidRDefault="00000000" w:rsidRPr="00000000" w14:paraId="00000020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rtl w:val="0"/>
        </w:rPr>
        <w:t xml:space="preserve">1.2. One (1) micropreparation, stained with hematoxylin-eosin, under the number 23SP045591.</w:t>
      </w:r>
    </w:p>
    <w:p w:rsidR="00000000" w:rsidDel="00000000" w:rsidP="00000000" w:rsidRDefault="00000000" w:rsidRPr="00000000" w14:paraId="00000021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rtl w:val="0"/>
        </w:rPr>
        <w:t xml:space="preserve">1.3. Seven (7) </w:t>
      </w:r>
      <w:r w:rsidDel="00000000" w:rsidR="00000000" w:rsidRPr="00000000">
        <w:rPr>
          <w:rFonts w:ascii="PlumbC" w:cs="PlumbC" w:eastAsia="PlumbC" w:hAnsi="PlumbC"/>
          <w:rtl w:val="0"/>
        </w:rPr>
        <w:t xml:space="preserve">micropreparations</w:t>
      </w:r>
      <w:r w:rsidDel="00000000" w:rsidR="00000000" w:rsidRPr="00000000">
        <w:rPr>
          <w:rFonts w:ascii="PlumbC" w:cs="PlumbC" w:eastAsia="PlumbC" w:hAnsi="PlumbC"/>
          <w:rtl w:val="0"/>
        </w:rPr>
        <w:t xml:space="preserve"> for IHC under the number 23SP045591.</w:t>
      </w:r>
    </w:p>
    <w:p w:rsidR="00000000" w:rsidDel="00000000" w:rsidP="00000000" w:rsidRDefault="00000000" w:rsidRPr="00000000" w14:paraId="00000022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rtl w:val="0"/>
        </w:rPr>
        <w:t xml:space="preserve">2.1. One (1) paraffin block with the number 23SP046733.</w:t>
      </w:r>
    </w:p>
    <w:p w:rsidR="00000000" w:rsidDel="00000000" w:rsidP="00000000" w:rsidRDefault="00000000" w:rsidRPr="00000000" w14:paraId="00000023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rtl w:val="0"/>
        </w:rPr>
        <w:t xml:space="preserve">2.2. One (1) micropreparation, stained with hematoxylin-eosin, under the number 23SP046733.</w:t>
      </w:r>
    </w:p>
    <w:p w:rsidR="00000000" w:rsidDel="00000000" w:rsidP="00000000" w:rsidRDefault="00000000" w:rsidRPr="00000000" w14:paraId="00000024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rtl w:val="0"/>
        </w:rPr>
        <w:t xml:space="preserve">2.3. Three (3) </w:t>
      </w:r>
      <w:r w:rsidDel="00000000" w:rsidR="00000000" w:rsidRPr="00000000">
        <w:rPr>
          <w:rFonts w:ascii="PlumbC" w:cs="PlumbC" w:eastAsia="PlumbC" w:hAnsi="PlumbC"/>
          <w:rtl w:val="0"/>
        </w:rPr>
        <w:t xml:space="preserve">micropreparations</w:t>
      </w:r>
      <w:r w:rsidDel="00000000" w:rsidR="00000000" w:rsidRPr="00000000">
        <w:rPr>
          <w:rFonts w:ascii="PlumbC" w:cs="PlumbC" w:eastAsia="PlumbC" w:hAnsi="PlumbC"/>
          <w:rtl w:val="0"/>
        </w:rPr>
        <w:t xml:space="preserve"> for IHC under the number 23SP046733.</w:t>
      </w:r>
    </w:p>
    <w:p w:rsidR="00000000" w:rsidDel="00000000" w:rsidP="00000000" w:rsidRDefault="00000000" w:rsidRPr="00000000" w14:paraId="00000025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rtl w:val="0"/>
        </w:rPr>
        <w:t xml:space="preserve">3.1. One (1) paraffin block under the number 48278/22.</w:t>
      </w:r>
    </w:p>
    <w:p w:rsidR="00000000" w:rsidDel="00000000" w:rsidP="00000000" w:rsidRDefault="00000000" w:rsidRPr="00000000" w14:paraId="00000026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rtl w:val="0"/>
        </w:rPr>
        <w:t xml:space="preserve">3.2. One (1) micropreparation, stained with hematoxylin-eosin, under the number 48278/22.</w:t>
      </w:r>
    </w:p>
    <w:p w:rsidR="00000000" w:rsidDel="00000000" w:rsidP="00000000" w:rsidRDefault="00000000" w:rsidRPr="00000000" w14:paraId="00000027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rtl w:val="0"/>
        </w:rPr>
        <w:t xml:space="preserve">3.3. Four (4) </w:t>
      </w:r>
      <w:r w:rsidDel="00000000" w:rsidR="00000000" w:rsidRPr="00000000">
        <w:rPr>
          <w:rFonts w:ascii="PlumbC" w:cs="PlumbC" w:eastAsia="PlumbC" w:hAnsi="PlumbC"/>
          <w:rtl w:val="0"/>
        </w:rPr>
        <w:t xml:space="preserve">micropreparations</w:t>
      </w:r>
      <w:r w:rsidDel="00000000" w:rsidR="00000000" w:rsidRPr="00000000">
        <w:rPr>
          <w:rFonts w:ascii="PlumbC" w:cs="PlumbC" w:eastAsia="PlumbC" w:hAnsi="PlumbC"/>
          <w:rtl w:val="0"/>
        </w:rPr>
        <w:t xml:space="preserve"> for IHC under the number 23CN007785.</w:t>
      </w:r>
    </w:p>
    <w:p w:rsidR="00000000" w:rsidDel="00000000" w:rsidP="00000000" w:rsidRDefault="00000000" w:rsidRPr="00000000" w14:paraId="00000028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>
          <w:rFonts w:ascii="PlumbC" w:cs="PlumbC" w:eastAsia="PlumbC" w:hAnsi="PlumbC"/>
          <w:b w:val="1"/>
          <w:bCs w:val="1"/>
          <w:u w:val="single"/>
        </w:rPr>
      </w:pPr>
      <w:r w:rsidDel="00000000" w:rsidR="00000000" w:rsidRPr="00000000">
        <w:rPr>
          <w:rFonts w:ascii="PlumbC" w:cs="PlumbC" w:eastAsia="PlumbC" w:hAnsi="PlumbC"/>
          <w:b w:val="1"/>
          <w:bCs w:val="1"/>
          <w:u w:val="single"/>
          <w:rtl w:val="0"/>
        </w:rPr>
        <w:t xml:space="preserve">Microscopic description and diagnosis:</w:t>
      </w:r>
    </w:p>
    <w:p w:rsidR="00000000" w:rsidDel="00000000" w:rsidP="00000000" w:rsidRDefault="00000000" w:rsidRPr="00000000" w14:paraId="0000002A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b w:val="1"/>
          <w:bCs w:val="1"/>
          <w:rtl w:val="0"/>
        </w:rPr>
        <w:t xml:space="preserve">R181/2023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rtl w:val="0"/>
        </w:rPr>
        <w:t xml:space="preserve">For the study, three sets of </w:t>
      </w:r>
      <w:r w:rsidDel="00000000" w:rsidR="00000000" w:rsidRPr="00000000">
        <w:rPr>
          <w:rFonts w:ascii="PlumbC" w:cs="PlumbC" w:eastAsia="PlumbC" w:hAnsi="PlumbC"/>
          <w:rtl w:val="0"/>
        </w:rPr>
        <w:t xml:space="preserve">micropreparations</w:t>
      </w:r>
      <w:r w:rsidDel="00000000" w:rsidR="00000000" w:rsidRPr="00000000">
        <w:rPr>
          <w:rFonts w:ascii="PlumbC" w:cs="PlumbC" w:eastAsia="PlumbC" w:hAnsi="PlumbC"/>
          <w:rtl w:val="0"/>
        </w:rPr>
        <w:t xml:space="preserve"> were obtained, including stained with hematoxylin-eosin, and for IHC: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line="240" w:lineRule="auto"/>
        <w:ind w:left="720" w:hanging="360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rtl w:val="0"/>
        </w:rPr>
        <w:t xml:space="preserve">Biopsy of the abdominal cavity: there is a cellular spindle cell tumor, without pronounced pleomorphism, without necrosis, morphologically compatible with a stromal tumor of the gastrointestinal tract.</w:t>
      </w:r>
    </w:p>
    <w:p w:rsidR="00000000" w:rsidDel="00000000" w:rsidP="00000000" w:rsidRDefault="00000000" w:rsidRPr="00000000" w14:paraId="0000002D">
      <w:pPr>
        <w:spacing w:line="240" w:lineRule="auto"/>
        <w:ind w:left="720" w:firstLine="0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rtl w:val="0"/>
        </w:rPr>
        <w:t xml:space="preserve">Positive staining for DOG1, CD34, and Ckit confirms the diagnosis. In addition, there is a deficit of SDH-B, which confirms the biological characteristics of the tumor.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line="240" w:lineRule="auto"/>
        <w:ind w:left="720" w:hanging="360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rtl w:val="0"/>
        </w:rPr>
        <w:t xml:space="preserve">Biopsy of the liver: the same morphology, but with increased cellularity. There is a corresponding positive stain for DOG1 and Ckit, consistent with a metastatic stromal tumor of the gastrointestinal tract.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line="240" w:lineRule="auto"/>
        <w:ind w:left="720" w:hanging="360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rtl w:val="0"/>
        </w:rPr>
        <w:t xml:space="preserve">Core Needle Biopsy of the liver: the same features as in biopsy 2 are observed.</w:t>
      </w:r>
    </w:p>
    <w:p w:rsidR="00000000" w:rsidDel="00000000" w:rsidP="00000000" w:rsidRDefault="00000000" w:rsidRPr="00000000" w14:paraId="00000030">
      <w:pPr>
        <w:spacing w:line="240" w:lineRule="auto"/>
        <w:ind w:right="0"/>
        <w:rPr>
          <w:rFonts w:ascii="PlumbC" w:cs="PlumbC" w:eastAsia="PlumbC" w:hAnsi="Plumb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rFonts w:ascii="PlumbC" w:cs="PlumbC" w:eastAsia="PlumbC" w:hAnsi="PlumbC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>
          <w:rFonts w:ascii="PlumbC" w:cs="PlumbC" w:eastAsia="PlumbC" w:hAnsi="PlumbC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>
          <w:rFonts w:ascii="PlumbC" w:cs="PlumbC" w:eastAsia="PlumbC" w:hAnsi="PlumbC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rPr>
          <w:rFonts w:ascii="PlumbC" w:cs="PlumbC" w:eastAsia="PlumbC" w:hAnsi="PlumbC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b w:val="1"/>
          <w:bCs w:val="1"/>
          <w:u w:val="single"/>
          <w:rtl w:val="0"/>
        </w:rPr>
        <w:t xml:space="preserve">Previous pathomorphological studies:</w:t>
      </w:r>
      <w:r w:rsidDel="00000000" w:rsidR="00000000" w:rsidRPr="00000000">
        <w:rPr>
          <w:rFonts w:ascii="PlumbC" w:cs="PlumbC" w:eastAsia="PlumbC" w:hAnsi="PlumbC"/>
          <w:b w:val="1"/>
          <w:bCs w:val="1"/>
          <w:rtl w:val="0"/>
        </w:rPr>
        <w:t xml:space="preserve">  </w:t>
      </w:r>
      <w:r w:rsidDel="00000000" w:rsidR="00000000" w:rsidRPr="00000000">
        <w:rPr>
          <w:rFonts w:ascii="PlumbC" w:cs="PlumbC" w:eastAsia="PlumbC" w:hAnsi="PlumbC"/>
          <w:rtl w:val="0"/>
        </w:rPr>
        <w:t xml:space="preserve">R / 101 / 2023.</w:t>
      </w:r>
    </w:p>
    <w:p w:rsidR="00000000" w:rsidDel="00000000" w:rsidP="00000000" w:rsidRDefault="00000000" w:rsidRPr="00000000" w14:paraId="00000036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b w:val="1"/>
          <w:bCs w:val="1"/>
          <w:rtl w:val="0"/>
        </w:rPr>
        <w:t xml:space="preserve">Print: </w:t>
      </w:r>
      <w:r w:rsidDel="00000000" w:rsidR="00000000" w:rsidRPr="00000000">
        <w:rPr>
          <w:rFonts w:ascii="PlumbC" w:cs="PlumbC" w:eastAsia="PlumbC" w:hAnsi="PlumbC"/>
          <w:rtl w:val="0"/>
        </w:rPr>
        <w:t xml:space="preserve">Andy Treger</w:t>
      </w:r>
      <w:r w:rsidDel="00000000" w:rsidR="00000000" w:rsidRPr="00000000">
        <w:rPr>
          <w:rFonts w:ascii="PlumbC" w:cs="PlumbC" w:eastAsia="PlumbC" w:hAnsi="PlumbC"/>
          <w:b w:val="1"/>
          <w:bCs w:val="1"/>
          <w:rtl w:val="0"/>
        </w:rPr>
        <w:t xml:space="preserve"> </w:t>
      </w:r>
      <w:r w:rsidDel="00000000" w:rsidR="00000000" w:rsidRPr="00000000">
        <w:rPr>
          <w:rFonts w:ascii="PlumbC" w:cs="PlumbC" w:eastAsia="PlumbC" w:hAnsi="PlumbC"/>
          <w:rtl w:val="0"/>
        </w:rPr>
        <w:t xml:space="preserve">04/06/2023</w:t>
        <w:tab/>
      </w:r>
    </w:p>
    <w:p w:rsidR="00000000" w:rsidDel="00000000" w:rsidP="00000000" w:rsidRDefault="00000000" w:rsidRPr="00000000" w14:paraId="00000038">
      <w:pPr>
        <w:spacing w:line="240" w:lineRule="auto"/>
        <w:rPr>
          <w:rFonts w:ascii="PlumbC" w:cs="PlumbC" w:eastAsia="PlumbC" w:hAnsi="PlumbC"/>
        </w:rPr>
      </w:pPr>
      <w:r w:rsidDel="00000000" w:rsidR="00000000" w:rsidRPr="00000000">
        <w:rPr>
          <w:rFonts w:ascii="PlumbC" w:cs="PlumbC" w:eastAsia="PlumbC" w:hAnsi="PlumbC"/>
          <w:b w:val="1"/>
          <w:bCs w:val="1"/>
          <w:rtl w:val="0"/>
        </w:rPr>
        <w:t xml:space="preserve">Pathologist: </w:t>
      </w:r>
      <w:r w:rsidDel="00000000" w:rsidR="00000000" w:rsidRPr="00000000">
        <w:rPr>
          <w:rFonts w:ascii="PlumbC" w:cs="PlumbC" w:eastAsia="PlumbC" w:hAnsi="PlumbC"/>
          <w:rtl w:val="0"/>
        </w:rPr>
        <w:t xml:space="preserve">Sarah Morgenstern, Specialist License No.: 16863</w:t>
      </w:r>
    </w:p>
    <w:p w:rsidR="00000000" w:rsidDel="00000000" w:rsidP="00000000" w:rsidRDefault="00000000" w:rsidRPr="00000000" w14:paraId="00000039">
      <w:pPr>
        <w:spacing w:line="240" w:lineRule="auto"/>
        <w:jc w:val="both"/>
        <w:rPr>
          <w:rFonts w:ascii="PlumbC" w:cs="PlumbC" w:eastAsia="PlumbC" w:hAnsi="Plumb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jc w:val="center"/>
        <w:rPr>
          <w:rFonts w:ascii="PlumbC" w:cs="PlumbC" w:eastAsia="PlumbC" w:hAnsi="Plumb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ind w:left="2834.645669291339" w:firstLine="283.46456692913364"/>
        <w:rPr>
          <w:rFonts w:ascii="PlumbC" w:cs="PlumbC" w:eastAsia="PlumbC" w:hAnsi="PlumbC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2095500</wp:posOffset>
                </wp:positionH>
                <wp:positionV relativeFrom="paragraph">
                  <wp:posOffset>45720</wp:posOffset>
                </wp:positionV>
                <wp:extent cx="2355850" cy="1130428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172850" y="3357399"/>
                          <a:ext cx="2346300" cy="92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Prime Pathology Laboratory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Dr. Sarah Morgenstern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Pathologist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License No.: 20142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/Signature/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2095500</wp:posOffset>
                </wp:positionH>
                <wp:positionV relativeFrom="paragraph">
                  <wp:posOffset>45720</wp:posOffset>
                </wp:positionV>
                <wp:extent cx="2355850" cy="1130428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55850" cy="113042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C">
      <w:pPr>
        <w:spacing w:line="240" w:lineRule="auto"/>
        <w:ind w:hanging="283.46456692913375"/>
        <w:rPr>
          <w:rFonts w:ascii="PlumbC" w:cs="PlumbC" w:eastAsia="PlumbC" w:hAnsi="PlumbC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890" w:top="1134" w:left="993" w:right="707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PlumbC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tabs>
        <w:tab w:val="center" w:leader="none" w:pos="4812"/>
        <w:tab w:val="right" w:leader="none" w:pos="9355"/>
      </w:tabs>
      <w:spacing w:line="240" w:lineRule="auto"/>
      <w:jc w:val="right"/>
      <w:rPr>
        <w:rFonts w:ascii="Calibri" w:cs="Calibri" w:eastAsia="Calibri" w:hAnsi="Calibri"/>
        <w:color w:val="ffffff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-906299</wp:posOffset>
          </wp:positionH>
          <wp:positionV relativeFrom="paragraph">
            <wp:posOffset>-457199</wp:posOffset>
          </wp:positionV>
          <wp:extent cx="7547906" cy="10811299"/>
          <wp:effectExtent b="0" l="0" r="0" t="0"/>
          <wp:wrapNone/>
          <wp:docPr descr="C:\Users\kateryna\Desktop\Медицинская программа - Данель.jpg" id="2" name="image2.jpg"/>
          <a:graphic>
            <a:graphicData uri="http://schemas.openxmlformats.org/drawingml/2006/picture">
              <pic:pic>
                <pic:nvPicPr>
                  <pic:cNvPr descr="C:\Users\kateryna\Desktop\Медицинская программа - Данель.jpg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7906" cy="1081129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E">
    <w:pPr>
      <w:tabs>
        <w:tab w:val="center" w:leader="none" w:pos="4677"/>
        <w:tab w:val="right" w:leader="none" w:pos="9765"/>
      </w:tabs>
      <w:spacing w:line="240" w:lineRule="auto"/>
      <w:ind w:left="1842.5196850393697" w:right="-1174.7244094488178" w:firstLine="0"/>
      <w:jc w:val="center"/>
      <w:rPr>
        <w:rFonts w:ascii="PlumbC" w:cs="PlumbC" w:eastAsia="PlumbC" w:hAnsi="PlumbC"/>
      </w:rPr>
    </w:pPr>
    <w:r w:rsidDel="00000000" w:rsidR="00000000" w:rsidRPr="00000000">
      <w:rPr>
        <w:rFonts w:ascii="Calibri" w:cs="Calibri" w:eastAsia="Calibri" w:hAnsi="Calibri"/>
        <w:color w:val="ffffff"/>
        <w:rtl w:val="0"/>
      </w:rPr>
      <w:t xml:space="preserve">26 HaBarzel St. Tel Aviv, 69710, ISRAEL, Phone: + 972-373-63803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tabs>
        <w:tab w:val="center" w:leader="none" w:pos="4677"/>
        <w:tab w:val="right" w:leader="none" w:pos="9355"/>
      </w:tabs>
      <w:spacing w:line="240" w:lineRule="auto"/>
      <w:ind w:left="1842.5196850393697" w:right="-1174.7244094488178" w:firstLine="0"/>
      <w:jc w:val="center"/>
      <w:rPr/>
    </w:pPr>
    <w:r w:rsidDel="00000000" w:rsidR="00000000" w:rsidRPr="00000000">
      <w:rPr>
        <w:rFonts w:ascii="Calibri" w:cs="Calibri" w:eastAsia="Calibri" w:hAnsi="Calibri"/>
        <w:color w:val="ffffff"/>
        <w:rtl w:val="0"/>
      </w:rPr>
      <w:t xml:space="preserve">       e-mail: info@manormedicalcenter.com, site: </w:t>
    </w:r>
    <w:hyperlink r:id="rId2">
      <w:r w:rsidDel="00000000" w:rsidR="00000000" w:rsidRPr="00000000">
        <w:rPr>
          <w:rFonts w:ascii="Calibri" w:cs="Calibri" w:eastAsia="Calibri" w:hAnsi="Calibri"/>
          <w:color w:val="ffffff"/>
          <w:u w:val="single"/>
          <w:rtl w:val="0"/>
        </w:rPr>
        <w:t xml:space="preserve">http://www.manormedicalcenter.com</w:t>
      </w:r>
    </w:hyperlink>
    <w:r w:rsidDel="00000000" w:rsidR="00000000" w:rsidRPr="00000000">
      <w:rPr>
        <w:rFonts w:ascii="PlumbC" w:cs="PlumbC" w:eastAsia="PlumbC" w:hAnsi="PlumbC"/>
        <w:color w:val="ffffff"/>
        <w:sz w:val="8"/>
        <w:szCs w:val="8"/>
        <w:rtl w:val="0"/>
      </w:rPr>
      <w:t xml:space="preserve">    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hyperlink" Target="http://www.manormedicalcent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