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NATIONAL ACADEMY OF SCIENCES OF UKRAINE</w:t>
      </w:r>
    </w:p>
    <w:p w:rsidR="00000000" w:rsidDel="00000000" w:rsidP="00000000" w:rsidRDefault="00000000" w:rsidRPr="00000000" w14:paraId="00000002">
      <w:pPr>
        <w:ind w:left="-283.46456692913375" w:right="-466.062992125984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SSI "Center for Innovative Medical Technologies of the National Academy of Sciences of Ukraine"</w:t>
      </w:r>
    </w:p>
    <w:tbl>
      <w:tblPr>
        <w:tblStyle w:val="Table1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30"/>
        <w:gridCol w:w="2070"/>
        <w:tblGridChange w:id="0">
          <w:tblGrid>
            <w:gridCol w:w="6930"/>
            <w:gridCol w:w="20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04053, Kyiv, str. Voznesensky Uzviz, 22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phone: 272-34-03</w:t>
            </w:r>
          </w:p>
        </w:tc>
      </w:tr>
    </w:tbl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ADVISORY OPINION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0"/>
        <w:gridCol w:w="6750"/>
        <w:tblGridChange w:id="0">
          <w:tblGrid>
            <w:gridCol w:w="2250"/>
            <w:gridCol w:w="6750"/>
          </w:tblGrid>
        </w:tblGridChange>
      </w:tblGrid>
      <w:tr>
        <w:trPr>
          <w:cantSplit w:val="0"/>
          <w:trHeight w:val="350.41259765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192.00000000000003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Citizen: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192.00000000000003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Zherlitsyna Anastasia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Stanislavivnа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Consulted in the polyclinic of the center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by a gastroenterologist</w:t>
            </w:r>
          </w:p>
        </w:tc>
      </w:tr>
      <w:tr>
        <w:trPr>
          <w:cantSplit w:val="0"/>
          <w:trHeight w:val="378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Conclusion: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The patient with stomach Ca has mts in the liver.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Takes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the drug Glivec 400 mg.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Chronic cholecystitis with hypotonic gallbladder dysfunction.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Recommended: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250 mg can be added in the morning to the treatment.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Ursofalk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500 mg after dinner for 2-3 months.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Heptral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500 mg twice a day for 2-3 months. Creon 25000 1 capsule three times a day during meals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5"/>
        <w:gridCol w:w="3195"/>
        <w:gridCol w:w="1185"/>
        <w:gridCol w:w="3885"/>
        <w:tblGridChange w:id="0">
          <w:tblGrid>
            <w:gridCol w:w="675"/>
            <w:gridCol w:w="3195"/>
            <w:gridCol w:w="1185"/>
            <w:gridCol w:w="3885"/>
          </w:tblGrid>
        </w:tblGridChange>
      </w:tblGrid>
      <w:tr>
        <w:trPr>
          <w:cantSplit w:val="0"/>
          <w:trHeight w:val="688.26171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02.04.24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Consultant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114300" distT="114300" distL="114300" distR="114300">
                  <wp:extent cx="1901353" cy="393771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353" cy="3937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