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" w:name="X8f1cac4d375ed54632509fe27fa3a0d1089a7b5"/>
    <w:p>
      <w:pPr>
        <w:pStyle w:val="Heading1"/>
      </w:pPr>
      <w:r>
        <w:t xml:space="preserve">Creatinine and urinalysis, 01.10.2026 — InVivo Clinic laboratory (English translation)</w:t>
      </w:r>
    </w:p>
    <w:p>
      <w:pPr>
        <w:pStyle w:val="FirstParagraph"/>
      </w:pPr>
      <w:r>
        <w:rPr>
          <w:b/>
          <w:bCs/>
        </w:rPr>
        <w:t xml:space="preserve">Patient:</w:t>
      </w:r>
      <w:r>
        <w:t xml:space="preserve"> </w:t>
      </w:r>
      <w:r>
        <w:t xml:space="preserve">Zherlitsyna Anastasiia Stanislavivna, born 25.04.1976.</w:t>
      </w:r>
      <w:r>
        <w:t xml:space="preserve"> </w:t>
      </w:r>
      <w:r>
        <w:rPr>
          <w:b/>
          <w:bCs/>
        </w:rPr>
        <w:t xml:space="preserve">Sample received:</w:t>
      </w:r>
      <w:r>
        <w:t xml:space="preserve"> </w:t>
      </w:r>
      <w:r>
        <w:t xml:space="preserve">01.10.2026, 09:46.</w:t>
      </w:r>
      <w:r>
        <w:t xml:space="preserve"> </w:t>
      </w:r>
      <w:r>
        <w:rPr>
          <w:b/>
          <w:bCs/>
        </w:rPr>
        <w:t xml:space="preserve">Laboratory:</w:t>
      </w:r>
      <w:r>
        <w:t xml:space="preserve"> </w:t>
      </w:r>
      <w:r>
        <w:t xml:space="preserve">InVivo Clinic LLC (Zhytomyr; medical laboratory accredited to ISO 15189:2022, certificate No. 30154). Registration number 3000093009262333519197. Results ready 01.10.2026, 17:24. Head of laboratory: Volosyuk V.V.</w:t>
      </w:r>
    </w:p>
    <w:p>
      <w:pPr>
        <w:pStyle w:val="BodyText"/>
      </w:pPr>
      <w:r>
        <w:t xml:space="preserve">Context: follow-up the day after the 30.09.2026 baseline tests at LISOD (creatinine 86.5 µmol/L, flagged high there). Regorafenib had been dispensed on 30.09.2026 and had not been started.</w:t>
      </w:r>
    </w:p>
    <w:bookmarkStart w:id="9" w:name="blood-venous"/>
    <w:p>
      <w:pPr>
        <w:pStyle w:val="Heading2"/>
      </w:pPr>
      <w:r>
        <w:t xml:space="preserve">Blood (venous)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Creatinine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41.0–73.0</w:t>
            </w:r>
          </w:p>
        </w:tc>
      </w:tr>
    </w:tbl>
    <w:p>
      <w:pPr>
        <w:pStyle w:val="BodyText"/>
      </w:pPr>
      <w:r>
        <w:t xml:space="preserve">Computed here, not on the lab report: eGFR ≈ 88 mL/min/1.73 m² (CKD-EPI 2021, creatinine 71.7 µmol/L, female, 50 years). Different laboratories use different methods and reference ranges (LISOD 44–80 µmol/L; InVivo 41–73 µmol/L), so the two creatinine values are not strictly comparable.</w:t>
      </w:r>
    </w:p>
    <w:bookmarkEnd w:id="9"/>
    <w:bookmarkStart w:id="11" w:name="Xd815aed07d3e7c2f873bc0b1907c60d3b69806a"/>
    <w:p>
      <w:pPr>
        <w:pStyle w:val="Heading2"/>
      </w:pPr>
      <w:r>
        <w:t xml:space="preserve">Urinalysis (general urine analysis, random sample)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 yellow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 yellow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Transparency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Specific gravity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1.005–1.030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Reaction (pH)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5.0–7.0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Protein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Glucose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Nitrites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Ketone bodies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Haemoglobin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Bilirubin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Urobilinogen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Ascorbic acid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Leukocyte esterase (LEU)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Leu/µL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 detected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Microalbumin (semi-quantitative)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Creatinine, urine (semi-quantitative)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4.4–17.7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Calcium, urine (semi-quantitative)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mmol/L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2.5–7.5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Microalbumin / creatinine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mg/mmol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3.4</w:t>
            </w:r>
          </w:p>
        </w:tc>
      </w:tr>
    </w:tbl>
    <w:bookmarkStart w:id="10" w:name="microscopy"/>
    <w:p>
      <w:pPr>
        <w:pStyle w:val="Heading3"/>
      </w:pPr>
      <w:r>
        <w:t xml:space="preserve">Microscopy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Red blood cells, unchanged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high-power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0–2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Red blood cells,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White blood cells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Squamous epithelium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5–6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single cells per field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Transitional epithelium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single cells per field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Renal epithelium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single cells per field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Casts (hyaline, granular, epithelial, waxy, leukocyte, erythrocyte)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Crystals (amorphous phosphates, triple phosphates, calcium sulfate, calcium oxalate, uric acid, calcium phosphate, other), amorphous urates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Mucus, bacteria, spermatozoa, trichomonads, yeast-like fungi, other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</w:tr>
    </w:tbl>
    <w:p>
      <w:pPr>
        <w:pStyle w:val="BodyText"/>
      </w:pPr>
      <w:r>
        <w:t xml:space="preserve">Only one result is outside the printed reference: squamous epithelium 5–6 per field (reference: single cells), which the report does not flag. It is usually a sign of sample contamination rather than disease. Everything else is within range, including the urine protein, glucose, blood, microalbumin and calcium.</w:t>
      </w:r>
    </w:p>
    <w:p>
      <w:pPr>
        <w:pStyle w:val="BodyText"/>
      </w:pPr>
      <w:r>
        <w:t xml:space="preserve">Translation note: plain-language English translation of the Ukrainian original for reference; not a certified translation. Laboratory results are not a diagnosis.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2026-10-01T16:06:57Z</dcterms:created>
  <dcterms:modified xsi:type="dcterms:W3CDTF">2026-10-01T16:06:57Z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